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364E4" w14:textId="22172003" w:rsidR="00436042" w:rsidRDefault="00436042" w:rsidP="00436042">
      <w:pPr>
        <w:spacing w:after="0" w:line="240" w:lineRule="auto"/>
        <w:jc w:val="center"/>
        <w:rPr>
          <w:rFonts w:ascii="Arial" w:hAnsi="Arial"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77CED636" wp14:editId="1FAF1746">
            <wp:extent cx="1571625" cy="1704975"/>
            <wp:effectExtent l="0" t="0" r="9525" b="9525"/>
            <wp:docPr id="8235301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704975"/>
                    </a:xfrm>
                    <a:prstGeom prst="rect">
                      <a:avLst/>
                    </a:prstGeom>
                    <a:noFill/>
                  </pic:spPr>
                </pic:pic>
              </a:graphicData>
            </a:graphic>
          </wp:inline>
        </w:drawing>
      </w:r>
    </w:p>
    <w:p w14:paraId="1746E41F" w14:textId="77777777" w:rsidR="00436042" w:rsidRDefault="00436042" w:rsidP="00436042">
      <w:pPr>
        <w:spacing w:after="0" w:line="240" w:lineRule="auto"/>
        <w:jc w:val="center"/>
        <w:rPr>
          <w:rFonts w:ascii="Arial" w:hAnsi="Arial" w:cs="Arial"/>
          <w:b/>
          <w:bCs/>
          <w:color w:val="FFFFFF" w:themeColor="background1"/>
          <w:sz w:val="28"/>
          <w:szCs w:val="28"/>
        </w:rPr>
      </w:pPr>
    </w:p>
    <w:p w14:paraId="46561CE8" w14:textId="77777777" w:rsidR="00563834" w:rsidRDefault="00563834" w:rsidP="00436042">
      <w:pPr>
        <w:spacing w:after="0" w:line="240" w:lineRule="auto"/>
        <w:jc w:val="center"/>
        <w:rPr>
          <w:rFonts w:ascii="Arial" w:hAnsi="Arial" w:cs="Arial"/>
          <w:b/>
          <w:bCs/>
          <w:color w:val="FFFFFF" w:themeColor="background1"/>
          <w:sz w:val="28"/>
          <w:szCs w:val="28"/>
        </w:rPr>
      </w:pPr>
    </w:p>
    <w:p w14:paraId="29D8E838" w14:textId="24ACE12B" w:rsidR="000E3B4C" w:rsidRPr="00E22B10" w:rsidRDefault="00120F8D" w:rsidP="00436042">
      <w:pPr>
        <w:shd w:val="clear" w:color="auto" w:fill="7F7F7F" w:themeFill="text1" w:themeFillTint="80"/>
        <w:spacing w:after="0" w:line="240" w:lineRule="auto"/>
        <w:jc w:val="center"/>
        <w:rPr>
          <w:rFonts w:ascii="Arial" w:hAnsi="Arial" w:cs="Arial"/>
          <w:b/>
          <w:bCs/>
          <w:color w:val="FFFFFF" w:themeColor="background1"/>
          <w:sz w:val="28"/>
          <w:szCs w:val="28"/>
        </w:rPr>
      </w:pPr>
      <w:r w:rsidRPr="00436042">
        <w:rPr>
          <w:rFonts w:ascii="Arial" w:hAnsi="Arial" w:cs="Arial"/>
          <w:b/>
          <w:bCs/>
          <w:color w:val="FFFFFF" w:themeColor="background1"/>
          <w:sz w:val="28"/>
          <w:szCs w:val="28"/>
        </w:rPr>
        <w:t>AVIS D’APPEL PUBLIC A LA CONCURRENCE</w:t>
      </w:r>
    </w:p>
    <w:p w14:paraId="28658376" w14:textId="77777777" w:rsidR="00120F8D" w:rsidRDefault="00120F8D" w:rsidP="00436042">
      <w:pPr>
        <w:spacing w:after="0" w:line="240" w:lineRule="auto"/>
        <w:jc w:val="both"/>
        <w:rPr>
          <w:rFonts w:ascii="Arial" w:hAnsi="Arial" w:cs="Arial"/>
        </w:rPr>
      </w:pPr>
    </w:p>
    <w:p w14:paraId="556E4AD5" w14:textId="77777777" w:rsidR="00436042" w:rsidRPr="00E22B10" w:rsidRDefault="00436042" w:rsidP="00E22B10">
      <w:pPr>
        <w:spacing w:after="0" w:line="240" w:lineRule="auto"/>
        <w:jc w:val="both"/>
        <w:rPr>
          <w:rFonts w:ascii="Arial" w:hAnsi="Arial" w:cs="Arial"/>
        </w:rPr>
      </w:pPr>
    </w:p>
    <w:p w14:paraId="60875AB4" w14:textId="142749F4" w:rsidR="00120F8D" w:rsidRPr="00E22B10" w:rsidRDefault="00120F8D" w:rsidP="00C71990">
      <w:pPr>
        <w:shd w:val="clear" w:color="auto" w:fill="4472C4" w:themeFill="accent1"/>
        <w:spacing w:after="0" w:line="240" w:lineRule="auto"/>
        <w:jc w:val="both"/>
        <w:rPr>
          <w:rFonts w:ascii="Arial" w:hAnsi="Arial" w:cs="Arial"/>
          <w:b/>
          <w:bCs/>
          <w:color w:val="FFFFFF" w:themeColor="background1"/>
        </w:rPr>
      </w:pPr>
      <w:r w:rsidRPr="00E22B10">
        <w:rPr>
          <w:rFonts w:ascii="Arial" w:hAnsi="Arial" w:cs="Arial"/>
          <w:b/>
          <w:bCs/>
          <w:color w:val="FFFFFF" w:themeColor="background1"/>
        </w:rPr>
        <w:t xml:space="preserve">SECTION </w:t>
      </w:r>
      <w:r w:rsidR="005A0DC7">
        <w:rPr>
          <w:rFonts w:ascii="Arial" w:hAnsi="Arial" w:cs="Arial"/>
          <w:b/>
          <w:bCs/>
          <w:color w:val="FFFFFF" w:themeColor="background1"/>
        </w:rPr>
        <w:t>1</w:t>
      </w:r>
      <w:r w:rsidRPr="00E22B10">
        <w:rPr>
          <w:rFonts w:ascii="Arial" w:hAnsi="Arial" w:cs="Arial"/>
          <w:b/>
          <w:bCs/>
          <w:color w:val="FFFFFF" w:themeColor="background1"/>
        </w:rPr>
        <w:t> : Identification de l’acheteur</w:t>
      </w:r>
    </w:p>
    <w:p w14:paraId="517367F8" w14:textId="77777777" w:rsidR="00C71990" w:rsidRDefault="00C71990" w:rsidP="00E22B10">
      <w:pPr>
        <w:spacing w:after="0" w:line="240" w:lineRule="auto"/>
        <w:jc w:val="both"/>
        <w:rPr>
          <w:rFonts w:ascii="Arial" w:hAnsi="Arial" w:cs="Arial"/>
        </w:rPr>
      </w:pPr>
    </w:p>
    <w:p w14:paraId="180F3A8F" w14:textId="3960CBB3" w:rsidR="00120F8D" w:rsidRPr="00E22B10" w:rsidRDefault="00120F8D" w:rsidP="00E22B10">
      <w:pPr>
        <w:spacing w:after="0" w:line="240" w:lineRule="auto"/>
        <w:jc w:val="both"/>
        <w:rPr>
          <w:rFonts w:ascii="Arial" w:hAnsi="Arial" w:cs="Arial"/>
        </w:rPr>
      </w:pPr>
      <w:r w:rsidRPr="00E22B10">
        <w:rPr>
          <w:rFonts w:ascii="Arial" w:hAnsi="Arial" w:cs="Arial"/>
        </w:rPr>
        <w:t>Nom complet de l’acheteur :</w:t>
      </w:r>
    </w:p>
    <w:p w14:paraId="15520367" w14:textId="277912FA"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Commune de Colomars</w:t>
      </w:r>
    </w:p>
    <w:p w14:paraId="5A534D92" w14:textId="4B2E602B" w:rsidR="00120F8D" w:rsidRPr="00E22B10" w:rsidRDefault="00120F8D" w:rsidP="00E22B10">
      <w:pPr>
        <w:spacing w:after="0" w:line="240" w:lineRule="auto"/>
        <w:jc w:val="both"/>
        <w:rPr>
          <w:rFonts w:ascii="Arial" w:hAnsi="Arial" w:cs="Arial"/>
        </w:rPr>
      </w:pPr>
      <w:r w:rsidRPr="00E22B10">
        <w:rPr>
          <w:rFonts w:ascii="Arial" w:hAnsi="Arial" w:cs="Arial"/>
        </w:rPr>
        <w:t>Type de numéro national d’identification :</w:t>
      </w:r>
    </w:p>
    <w:p w14:paraId="487ABC7F" w14:textId="04243E49"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SIRET</w:t>
      </w:r>
    </w:p>
    <w:p w14:paraId="31782BF5" w14:textId="56B46DA4" w:rsidR="00120F8D" w:rsidRPr="00E22B10" w:rsidRDefault="00120F8D" w:rsidP="00E22B10">
      <w:pPr>
        <w:spacing w:after="0" w:line="240" w:lineRule="auto"/>
        <w:jc w:val="both"/>
        <w:rPr>
          <w:rFonts w:ascii="Arial" w:hAnsi="Arial" w:cs="Arial"/>
        </w:rPr>
      </w:pPr>
      <w:r w:rsidRPr="00E22B10">
        <w:rPr>
          <w:rFonts w:ascii="Arial" w:hAnsi="Arial" w:cs="Arial"/>
        </w:rPr>
        <w:t>N° National d’identification :</w:t>
      </w:r>
    </w:p>
    <w:p w14:paraId="3A74FEF4" w14:textId="3FE9886B"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210600466</w:t>
      </w:r>
    </w:p>
    <w:p w14:paraId="2E1A8203" w14:textId="77777777" w:rsidR="00120F8D" w:rsidRPr="00E22B10" w:rsidRDefault="00120F8D" w:rsidP="00E22B10">
      <w:pPr>
        <w:spacing w:after="0" w:line="240" w:lineRule="auto"/>
        <w:jc w:val="both"/>
        <w:rPr>
          <w:rFonts w:ascii="Arial" w:hAnsi="Arial" w:cs="Arial"/>
        </w:rPr>
      </w:pPr>
      <w:r w:rsidRPr="00E22B10">
        <w:rPr>
          <w:rFonts w:ascii="Arial" w:hAnsi="Arial" w:cs="Arial"/>
        </w:rPr>
        <w:t xml:space="preserve">Ville : </w:t>
      </w:r>
    </w:p>
    <w:p w14:paraId="23E5E770" w14:textId="60F83BC9" w:rsidR="00120F8D" w:rsidRPr="00E22B10" w:rsidRDefault="00120F8D" w:rsidP="00E22B10">
      <w:pPr>
        <w:spacing w:after="0" w:line="240" w:lineRule="auto"/>
        <w:jc w:val="both"/>
        <w:rPr>
          <w:rFonts w:ascii="Arial" w:hAnsi="Arial" w:cs="Arial"/>
        </w:rPr>
      </w:pPr>
      <w:r w:rsidRPr="00E22B10">
        <w:rPr>
          <w:rFonts w:ascii="Arial" w:hAnsi="Arial" w:cs="Arial"/>
          <w:color w:val="0070C0"/>
        </w:rPr>
        <w:t>Colomars</w:t>
      </w:r>
    </w:p>
    <w:p w14:paraId="265FE074" w14:textId="77777777" w:rsidR="00120F8D" w:rsidRPr="00E22B10" w:rsidRDefault="00120F8D" w:rsidP="00E22B10">
      <w:pPr>
        <w:spacing w:after="0" w:line="240" w:lineRule="auto"/>
        <w:jc w:val="both"/>
        <w:rPr>
          <w:rFonts w:ascii="Arial" w:hAnsi="Arial" w:cs="Arial"/>
          <w:color w:val="0070C0"/>
        </w:rPr>
      </w:pPr>
      <w:r w:rsidRPr="00E22B10">
        <w:rPr>
          <w:rFonts w:ascii="Arial" w:hAnsi="Arial" w:cs="Arial"/>
        </w:rPr>
        <w:t>Code postal :</w:t>
      </w:r>
      <w:r w:rsidRPr="00E22B10">
        <w:rPr>
          <w:rFonts w:ascii="Arial" w:hAnsi="Arial" w:cs="Arial"/>
          <w:color w:val="0070C0"/>
        </w:rPr>
        <w:t xml:space="preserve"> </w:t>
      </w:r>
    </w:p>
    <w:p w14:paraId="1D157F4C" w14:textId="49FA6775" w:rsidR="00120F8D" w:rsidRPr="00E22B10" w:rsidRDefault="00120F8D" w:rsidP="00E22B10">
      <w:pPr>
        <w:spacing w:after="0" w:line="240" w:lineRule="auto"/>
        <w:jc w:val="both"/>
        <w:rPr>
          <w:rFonts w:ascii="Arial" w:hAnsi="Arial" w:cs="Arial"/>
        </w:rPr>
      </w:pPr>
      <w:r w:rsidRPr="00E22B10">
        <w:rPr>
          <w:rFonts w:ascii="Arial" w:hAnsi="Arial" w:cs="Arial"/>
          <w:color w:val="0070C0"/>
        </w:rPr>
        <w:t>06670</w:t>
      </w:r>
    </w:p>
    <w:p w14:paraId="6662953C" w14:textId="03DCDD00" w:rsidR="00120F8D" w:rsidRPr="00E22B10" w:rsidRDefault="00120F8D" w:rsidP="00E22B10">
      <w:pPr>
        <w:spacing w:after="0" w:line="240" w:lineRule="auto"/>
        <w:jc w:val="both"/>
        <w:rPr>
          <w:rFonts w:ascii="Arial" w:hAnsi="Arial" w:cs="Arial"/>
        </w:rPr>
      </w:pPr>
      <w:r w:rsidRPr="00E22B10">
        <w:rPr>
          <w:rFonts w:ascii="Arial" w:hAnsi="Arial" w:cs="Arial"/>
        </w:rPr>
        <w:t>Groupement de commandes :</w:t>
      </w:r>
    </w:p>
    <w:p w14:paraId="4BDAE640" w14:textId="044A3300"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Non</w:t>
      </w:r>
    </w:p>
    <w:p w14:paraId="76723915" w14:textId="77777777" w:rsidR="00120F8D" w:rsidRPr="00E22B10" w:rsidRDefault="00120F8D" w:rsidP="00E22B10">
      <w:pPr>
        <w:spacing w:after="0" w:line="240" w:lineRule="auto"/>
        <w:jc w:val="both"/>
        <w:rPr>
          <w:rFonts w:ascii="Arial" w:hAnsi="Arial" w:cs="Arial"/>
          <w:color w:val="0070C0"/>
        </w:rPr>
      </w:pPr>
    </w:p>
    <w:p w14:paraId="208B5F32" w14:textId="68023830" w:rsidR="00120F8D" w:rsidRPr="00E22B10" w:rsidRDefault="00120F8D" w:rsidP="00C71990">
      <w:pPr>
        <w:shd w:val="clear" w:color="auto" w:fill="4472C4" w:themeFill="accent1"/>
        <w:spacing w:after="0" w:line="240" w:lineRule="auto"/>
        <w:jc w:val="both"/>
        <w:rPr>
          <w:rFonts w:ascii="Arial" w:hAnsi="Arial" w:cs="Arial"/>
          <w:b/>
          <w:bCs/>
        </w:rPr>
      </w:pPr>
      <w:r w:rsidRPr="00C71990">
        <w:rPr>
          <w:rFonts w:ascii="Arial" w:hAnsi="Arial" w:cs="Arial"/>
          <w:b/>
          <w:bCs/>
          <w:color w:val="FFFFFF" w:themeColor="background1"/>
          <w:shd w:val="clear" w:color="auto" w:fill="4472C4" w:themeFill="accent1"/>
        </w:rPr>
        <w:t>SECTION 2 : Communication</w:t>
      </w:r>
    </w:p>
    <w:p w14:paraId="6A6BA1DD" w14:textId="77777777" w:rsidR="00C71990" w:rsidRDefault="00C71990" w:rsidP="00E22B10">
      <w:pPr>
        <w:spacing w:after="0" w:line="240" w:lineRule="auto"/>
        <w:jc w:val="both"/>
        <w:rPr>
          <w:rFonts w:ascii="Arial" w:hAnsi="Arial" w:cs="Arial"/>
        </w:rPr>
      </w:pPr>
    </w:p>
    <w:p w14:paraId="1A598A14" w14:textId="77777777" w:rsidR="00E04D25" w:rsidRDefault="00120F8D" w:rsidP="00E22B10">
      <w:pPr>
        <w:spacing w:after="0" w:line="240" w:lineRule="auto"/>
        <w:jc w:val="both"/>
        <w:rPr>
          <w:rFonts w:ascii="Arial" w:hAnsi="Arial" w:cs="Arial"/>
        </w:rPr>
      </w:pPr>
      <w:r w:rsidRPr="00E22B10">
        <w:rPr>
          <w:rFonts w:ascii="Arial" w:hAnsi="Arial" w:cs="Arial"/>
        </w:rPr>
        <w:t xml:space="preserve">Lien vers le profil de l’acheteur : </w:t>
      </w:r>
    </w:p>
    <w:p w14:paraId="38550880" w14:textId="09ABAEB2" w:rsidR="00120F8D" w:rsidRDefault="00120F8D" w:rsidP="00E22B10">
      <w:pPr>
        <w:spacing w:after="0" w:line="240" w:lineRule="auto"/>
        <w:jc w:val="both"/>
        <w:rPr>
          <w:rFonts w:ascii="Arial" w:hAnsi="Arial" w:cs="Arial"/>
          <w:color w:val="FF0000"/>
        </w:rPr>
      </w:pPr>
      <w:r w:rsidRPr="00764B1F">
        <w:rPr>
          <w:rFonts w:ascii="Arial" w:hAnsi="Arial" w:cs="Arial"/>
          <w:color w:val="FF0000"/>
          <w:highlight w:val="yellow"/>
        </w:rPr>
        <w:t>XXXXXX</w:t>
      </w:r>
    </w:p>
    <w:p w14:paraId="59D376BA" w14:textId="6025564B" w:rsidR="00E04D25" w:rsidRDefault="00E04D25" w:rsidP="00E22B10">
      <w:pPr>
        <w:spacing w:after="0" w:line="240" w:lineRule="auto"/>
        <w:jc w:val="both"/>
        <w:rPr>
          <w:rFonts w:ascii="Arial" w:hAnsi="Arial" w:cs="Arial"/>
        </w:rPr>
      </w:pPr>
      <w:r w:rsidRPr="00E04D25">
        <w:rPr>
          <w:rFonts w:ascii="Arial" w:hAnsi="Arial" w:cs="Arial"/>
        </w:rPr>
        <w:t>Identifiant interne de la consultation :</w:t>
      </w:r>
    </w:p>
    <w:p w14:paraId="08976ABF" w14:textId="53280B9D" w:rsidR="00E04D25" w:rsidRPr="00E04D25" w:rsidRDefault="00E04D25" w:rsidP="00E22B10">
      <w:pPr>
        <w:spacing w:after="0" w:line="240" w:lineRule="auto"/>
        <w:jc w:val="both"/>
        <w:rPr>
          <w:rFonts w:ascii="Arial" w:hAnsi="Arial" w:cs="Arial"/>
          <w:color w:val="ED0000"/>
        </w:rPr>
      </w:pPr>
      <w:r w:rsidRPr="00764B1F">
        <w:rPr>
          <w:rFonts w:ascii="Arial" w:hAnsi="Arial" w:cs="Arial"/>
          <w:color w:val="ED0000"/>
          <w:highlight w:val="yellow"/>
        </w:rPr>
        <w:t>XXXXXX</w:t>
      </w:r>
    </w:p>
    <w:p w14:paraId="592164D9" w14:textId="2CA04310" w:rsidR="00120F8D" w:rsidRPr="00E22B10" w:rsidRDefault="00120F8D" w:rsidP="00E22B10">
      <w:pPr>
        <w:spacing w:after="0" w:line="240" w:lineRule="auto"/>
        <w:jc w:val="both"/>
        <w:rPr>
          <w:rFonts w:ascii="Arial" w:hAnsi="Arial" w:cs="Arial"/>
        </w:rPr>
      </w:pPr>
      <w:r w:rsidRPr="00E22B10">
        <w:rPr>
          <w:rFonts w:ascii="Arial" w:hAnsi="Arial" w:cs="Arial"/>
        </w:rPr>
        <w:t>Intégralité des documents sur le profil de l’acheteur :</w:t>
      </w:r>
    </w:p>
    <w:p w14:paraId="49571E9F" w14:textId="4E0BB7AC"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Oui</w:t>
      </w:r>
    </w:p>
    <w:p w14:paraId="0852F901" w14:textId="79215BC9" w:rsidR="00120F8D" w:rsidRPr="00E22B10" w:rsidRDefault="00120F8D" w:rsidP="00E22B10">
      <w:pPr>
        <w:spacing w:after="0" w:line="240" w:lineRule="auto"/>
        <w:jc w:val="both"/>
        <w:rPr>
          <w:rFonts w:ascii="Arial" w:hAnsi="Arial" w:cs="Arial"/>
        </w:rPr>
      </w:pPr>
      <w:r w:rsidRPr="00E22B10">
        <w:rPr>
          <w:rFonts w:ascii="Arial" w:hAnsi="Arial" w:cs="Arial"/>
        </w:rPr>
        <w:t>Utilisation de moyens de communication non communément disponibles :</w:t>
      </w:r>
    </w:p>
    <w:p w14:paraId="043FCB9C" w14:textId="2230A869"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Non</w:t>
      </w:r>
    </w:p>
    <w:p w14:paraId="5BA9EF15" w14:textId="77777777" w:rsidR="00E04D25" w:rsidRDefault="00120F8D" w:rsidP="00E22B10">
      <w:pPr>
        <w:spacing w:after="0" w:line="240" w:lineRule="auto"/>
        <w:jc w:val="both"/>
        <w:rPr>
          <w:rFonts w:ascii="Arial" w:hAnsi="Arial" w:cs="Arial"/>
        </w:rPr>
      </w:pPr>
      <w:r w:rsidRPr="00E22B10">
        <w:rPr>
          <w:rFonts w:ascii="Arial" w:hAnsi="Arial" w:cs="Arial"/>
        </w:rPr>
        <w:t xml:space="preserve">Nom du contact : </w:t>
      </w:r>
    </w:p>
    <w:p w14:paraId="01150E52" w14:textId="518E5043" w:rsidR="00120F8D" w:rsidRPr="00E22B10" w:rsidRDefault="00120F8D" w:rsidP="00E22B10">
      <w:pPr>
        <w:spacing w:after="0" w:line="240" w:lineRule="auto"/>
        <w:jc w:val="both"/>
        <w:rPr>
          <w:rFonts w:ascii="Arial" w:hAnsi="Arial" w:cs="Arial"/>
        </w:rPr>
      </w:pPr>
      <w:r w:rsidRPr="00764B1F">
        <w:rPr>
          <w:rFonts w:ascii="Arial" w:hAnsi="Arial" w:cs="Arial"/>
          <w:color w:val="FF0000"/>
          <w:highlight w:val="yellow"/>
        </w:rPr>
        <w:t>XXXXX</w:t>
      </w:r>
    </w:p>
    <w:p w14:paraId="11291A6E" w14:textId="77777777" w:rsidR="00E04D25" w:rsidRDefault="00120F8D" w:rsidP="00E22B10">
      <w:pPr>
        <w:spacing w:after="0" w:line="240" w:lineRule="auto"/>
        <w:jc w:val="both"/>
        <w:rPr>
          <w:rFonts w:ascii="Arial" w:hAnsi="Arial" w:cs="Arial"/>
        </w:rPr>
      </w:pPr>
      <w:r w:rsidRPr="00E22B10">
        <w:rPr>
          <w:rFonts w:ascii="Arial" w:hAnsi="Arial" w:cs="Arial"/>
        </w:rPr>
        <w:t xml:space="preserve">Adresse mail du contact : </w:t>
      </w:r>
    </w:p>
    <w:p w14:paraId="52A8BFE5" w14:textId="2145E32E" w:rsidR="00120F8D" w:rsidRPr="00E22B10" w:rsidRDefault="00120F8D" w:rsidP="00E22B10">
      <w:pPr>
        <w:spacing w:after="0" w:line="240" w:lineRule="auto"/>
        <w:jc w:val="both"/>
        <w:rPr>
          <w:rFonts w:ascii="Arial" w:hAnsi="Arial" w:cs="Arial"/>
        </w:rPr>
      </w:pPr>
      <w:r w:rsidRPr="00764B1F">
        <w:rPr>
          <w:rFonts w:ascii="Arial" w:hAnsi="Arial" w:cs="Arial"/>
          <w:color w:val="FF0000"/>
          <w:highlight w:val="yellow"/>
        </w:rPr>
        <w:t>XXXXX</w:t>
      </w:r>
    </w:p>
    <w:p w14:paraId="0159F52A" w14:textId="77777777" w:rsidR="00E04D25" w:rsidRDefault="00120F8D" w:rsidP="00E22B10">
      <w:pPr>
        <w:spacing w:after="0" w:line="240" w:lineRule="auto"/>
        <w:jc w:val="both"/>
        <w:rPr>
          <w:rFonts w:ascii="Arial" w:hAnsi="Arial" w:cs="Arial"/>
        </w:rPr>
      </w:pPr>
      <w:r w:rsidRPr="00E22B10">
        <w:rPr>
          <w:rFonts w:ascii="Arial" w:hAnsi="Arial" w:cs="Arial"/>
        </w:rPr>
        <w:t xml:space="preserve">N° de téléphone du contact : </w:t>
      </w:r>
    </w:p>
    <w:p w14:paraId="1AF3AF5C" w14:textId="70E7A2B5" w:rsidR="00120F8D" w:rsidRPr="00E22B10" w:rsidRDefault="00120F8D" w:rsidP="00E22B10">
      <w:pPr>
        <w:spacing w:after="0" w:line="240" w:lineRule="auto"/>
        <w:jc w:val="both"/>
        <w:rPr>
          <w:rFonts w:ascii="Arial" w:hAnsi="Arial" w:cs="Arial"/>
        </w:rPr>
      </w:pPr>
      <w:r w:rsidRPr="00764B1F">
        <w:rPr>
          <w:rFonts w:ascii="Arial" w:hAnsi="Arial" w:cs="Arial"/>
          <w:color w:val="FF0000"/>
          <w:highlight w:val="yellow"/>
        </w:rPr>
        <w:t>XXXXX</w:t>
      </w:r>
    </w:p>
    <w:p w14:paraId="50198ACD" w14:textId="77777777" w:rsidR="00120F8D" w:rsidRPr="00E22B10" w:rsidRDefault="00120F8D" w:rsidP="00E22B10">
      <w:pPr>
        <w:spacing w:after="0" w:line="240" w:lineRule="auto"/>
        <w:jc w:val="both"/>
        <w:rPr>
          <w:rFonts w:ascii="Arial" w:hAnsi="Arial" w:cs="Arial"/>
        </w:rPr>
      </w:pPr>
    </w:p>
    <w:p w14:paraId="28B5D9A6" w14:textId="0D8A2614" w:rsidR="00120F8D" w:rsidRPr="00C71990" w:rsidRDefault="00120F8D" w:rsidP="00C71990">
      <w:pPr>
        <w:shd w:val="clear" w:color="auto" w:fill="4472C4" w:themeFill="accent1"/>
        <w:spacing w:after="0" w:line="240" w:lineRule="auto"/>
        <w:jc w:val="both"/>
        <w:rPr>
          <w:rFonts w:ascii="Arial" w:hAnsi="Arial" w:cs="Arial"/>
          <w:b/>
          <w:bCs/>
          <w:color w:val="FFFFFF" w:themeColor="background1"/>
        </w:rPr>
      </w:pPr>
      <w:r w:rsidRPr="00C71990">
        <w:rPr>
          <w:rFonts w:ascii="Arial" w:hAnsi="Arial" w:cs="Arial"/>
          <w:b/>
          <w:bCs/>
          <w:color w:val="FFFFFF" w:themeColor="background1"/>
        </w:rPr>
        <w:t>SECTION 3 : Procédure</w:t>
      </w:r>
    </w:p>
    <w:p w14:paraId="7209F1C0" w14:textId="77777777" w:rsidR="00C71990" w:rsidRDefault="00C71990" w:rsidP="00E22B10">
      <w:pPr>
        <w:spacing w:after="0" w:line="240" w:lineRule="auto"/>
        <w:jc w:val="both"/>
        <w:rPr>
          <w:rFonts w:ascii="Arial" w:hAnsi="Arial" w:cs="Arial"/>
        </w:rPr>
      </w:pPr>
    </w:p>
    <w:p w14:paraId="3C701A79" w14:textId="3E2D7C65" w:rsidR="00120F8D" w:rsidRPr="00E22B10" w:rsidRDefault="00120F8D" w:rsidP="00E22B10">
      <w:pPr>
        <w:spacing w:after="0" w:line="240" w:lineRule="auto"/>
        <w:jc w:val="both"/>
        <w:rPr>
          <w:rFonts w:ascii="Arial" w:hAnsi="Arial" w:cs="Arial"/>
        </w:rPr>
      </w:pPr>
      <w:r w:rsidRPr="00E22B10">
        <w:rPr>
          <w:rFonts w:ascii="Arial" w:hAnsi="Arial" w:cs="Arial"/>
        </w:rPr>
        <w:t>Type de procédure :</w:t>
      </w:r>
    </w:p>
    <w:p w14:paraId="2ADE68F0" w14:textId="288FED74"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Procédure adaptée ouverte</w:t>
      </w:r>
    </w:p>
    <w:p w14:paraId="38A86460" w14:textId="7D3CF7E2" w:rsidR="00120F8D" w:rsidRPr="00E22B10" w:rsidRDefault="00120F8D" w:rsidP="00E22B10">
      <w:pPr>
        <w:spacing w:after="0" w:line="240" w:lineRule="auto"/>
        <w:jc w:val="both"/>
        <w:rPr>
          <w:rFonts w:ascii="Arial" w:hAnsi="Arial" w:cs="Arial"/>
        </w:rPr>
      </w:pPr>
      <w:r w:rsidRPr="00E22B10">
        <w:rPr>
          <w:rFonts w:ascii="Arial" w:hAnsi="Arial" w:cs="Arial"/>
        </w:rPr>
        <w:t>Conditions de participation :</w:t>
      </w:r>
    </w:p>
    <w:p w14:paraId="512E1333" w14:textId="77777777"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Aptitude à exercer l’activité professionnelle – conditions / moyens de preuve :</w:t>
      </w:r>
    </w:p>
    <w:p w14:paraId="48EE0DBF" w14:textId="314F7AFD"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lastRenderedPageBreak/>
        <w:t>Pièces de la candidature telles que prévues aux articles L. 2142-1, R. 2142-3, R. 2142-4, R. 2143-3 et R. 2143-4 du Code de la commande publique :</w:t>
      </w:r>
      <w:r w:rsidRPr="00E22B10">
        <w:rPr>
          <w:rFonts w:ascii="Arial" w:eastAsia="Times New Roman" w:hAnsi="Arial" w:cs="Arial"/>
          <w:color w:val="0070C0"/>
          <w:kern w:val="0"/>
          <w14:ligatures w14:val="none"/>
        </w:rPr>
        <w:t xml:space="preserve"> </w:t>
      </w:r>
      <w:r w:rsidRPr="00E22B10">
        <w:rPr>
          <w:rFonts w:ascii="Arial" w:hAnsi="Arial" w:cs="Arial"/>
          <w:color w:val="0070C0"/>
        </w:rPr>
        <w:t>Déclaration sur l'honneur pour justifier que le candidat n'entre dans aucun des cas d'interdiction de soumissionner</w:t>
      </w:r>
    </w:p>
    <w:p w14:paraId="6DF85057" w14:textId="0B876C7B"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Capacité économique et financière – conditions/moyens de preuve :</w:t>
      </w:r>
    </w:p>
    <w:p w14:paraId="31A0D0A8" w14:textId="01717CE0" w:rsidR="00563834" w:rsidRPr="00E22B10" w:rsidRDefault="00120F8D" w:rsidP="00E22B10">
      <w:pPr>
        <w:spacing w:after="0" w:line="240" w:lineRule="auto"/>
        <w:jc w:val="both"/>
        <w:rPr>
          <w:rFonts w:ascii="Arial" w:hAnsi="Arial" w:cs="Arial"/>
          <w:color w:val="0070C0"/>
        </w:rPr>
      </w:pPr>
      <w:r w:rsidRPr="00E22B10">
        <w:rPr>
          <w:rFonts w:ascii="Arial" w:hAnsi="Arial" w:cs="Arial"/>
          <w:color w:val="0070C0"/>
        </w:rPr>
        <w:t>Déclaration concernant le chiffre d'affaires global et le chiffre d'affaires concernant les prestations objet du contrat, réalisées au cours des trois derniers exercices disponibles</w:t>
      </w:r>
    </w:p>
    <w:p w14:paraId="61052032" w14:textId="043A7B55"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Capacité techniques et professionnelles – conditions/moyens de preuve :</w:t>
      </w:r>
    </w:p>
    <w:p w14:paraId="7E5E2FF8" w14:textId="125B83D5"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Déclaration indiquant les effectifs moyens annuels du candidat et l'importance du personnel d'encadrement pour chacune des trois dernières années</w:t>
      </w:r>
    </w:p>
    <w:p w14:paraId="1A52A4B3" w14:textId="6F852C2F" w:rsidR="00120F8D" w:rsidRDefault="00120F8D" w:rsidP="00E22B10">
      <w:pPr>
        <w:spacing w:after="0" w:line="240" w:lineRule="auto"/>
        <w:jc w:val="both"/>
        <w:rPr>
          <w:rFonts w:ascii="Arial" w:hAnsi="Arial" w:cs="Arial"/>
          <w:color w:val="0070C0"/>
        </w:rPr>
      </w:pPr>
      <w:r w:rsidRPr="00E22B10">
        <w:rPr>
          <w:rFonts w:ascii="Arial" w:hAnsi="Arial" w:cs="Arial"/>
          <w:color w:val="0070C0"/>
        </w:rPr>
        <w:t>Liste des principales prestations effectuées au cours des trois dernières années, indiquant le montant, la date et le destinataire. Elles sont prouvées par des attestations du destinataire ou, à défaut, par une déclaration du candidat</w:t>
      </w:r>
    </w:p>
    <w:p w14:paraId="59DBE90B" w14:textId="77777777" w:rsidR="00C71990" w:rsidRPr="00E22B10" w:rsidRDefault="00C71990" w:rsidP="00E22B10">
      <w:pPr>
        <w:spacing w:after="0" w:line="240" w:lineRule="auto"/>
        <w:jc w:val="both"/>
        <w:rPr>
          <w:rFonts w:ascii="Arial" w:hAnsi="Arial" w:cs="Arial"/>
          <w:color w:val="0070C0"/>
        </w:rPr>
      </w:pPr>
    </w:p>
    <w:p w14:paraId="307C91D2" w14:textId="2CF6F5FA" w:rsidR="00120F8D" w:rsidRPr="00120F8D" w:rsidRDefault="00120F8D" w:rsidP="00E22B10">
      <w:pPr>
        <w:spacing w:after="0" w:line="240" w:lineRule="auto"/>
        <w:jc w:val="both"/>
        <w:rPr>
          <w:rFonts w:ascii="Arial" w:hAnsi="Arial" w:cs="Arial"/>
          <w:color w:val="0070C0"/>
        </w:rPr>
      </w:pPr>
      <w:r w:rsidRPr="00120F8D">
        <w:rPr>
          <w:rFonts w:ascii="Arial" w:hAnsi="Arial" w:cs="Arial"/>
          <w:color w:val="0070C0"/>
        </w:rPr>
        <w:t>Pour présenter leur candidature, les candidats peuvent utiliser les formulaires DC1 (lettre de candidature) et DC2 (déclaration du candidat). Ces documents sont disponibles gratuitement sur le site www.economie.gouv.fr.</w:t>
      </w:r>
    </w:p>
    <w:p w14:paraId="46354688" w14:textId="19474C44" w:rsidR="00120F8D" w:rsidRDefault="00120F8D" w:rsidP="00E22B10">
      <w:pPr>
        <w:spacing w:after="0" w:line="240" w:lineRule="auto"/>
        <w:jc w:val="both"/>
        <w:rPr>
          <w:rFonts w:ascii="Arial" w:hAnsi="Arial" w:cs="Arial"/>
          <w:color w:val="0070C0"/>
        </w:rPr>
      </w:pPr>
      <w:r w:rsidRPr="00120F8D">
        <w:rPr>
          <w:rFonts w:ascii="Arial" w:hAnsi="Arial" w:cs="Arial"/>
          <w:color w:val="0070C0"/>
        </w:rPr>
        <w:t>Ils peuvent aussi utiliser le Document Unique de Marché Européen (DUME).</w:t>
      </w:r>
    </w:p>
    <w:p w14:paraId="56812856" w14:textId="77777777" w:rsidR="00C71990" w:rsidRPr="00120F8D" w:rsidRDefault="00C71990" w:rsidP="00E22B10">
      <w:pPr>
        <w:spacing w:after="0" w:line="240" w:lineRule="auto"/>
        <w:jc w:val="both"/>
        <w:rPr>
          <w:rFonts w:ascii="Arial" w:hAnsi="Arial" w:cs="Arial"/>
          <w:color w:val="0070C0"/>
        </w:rPr>
      </w:pPr>
    </w:p>
    <w:p w14:paraId="04DFA4AE" w14:textId="77777777" w:rsidR="00120F8D" w:rsidRPr="00120F8D" w:rsidRDefault="00120F8D" w:rsidP="00E22B10">
      <w:pPr>
        <w:spacing w:after="0" w:line="240" w:lineRule="auto"/>
        <w:jc w:val="both"/>
        <w:rPr>
          <w:rFonts w:ascii="Arial" w:hAnsi="Arial" w:cs="Arial"/>
          <w:color w:val="0070C0"/>
        </w:rPr>
      </w:pPr>
      <w:r w:rsidRPr="00120F8D">
        <w:rPr>
          <w:rFonts w:ascii="Arial" w:hAnsi="Arial" w:cs="Arial"/>
          <w:color w:val="0070C0"/>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14:paraId="3EB081FC" w14:textId="37FFC4CA" w:rsidR="00E04D25" w:rsidRDefault="00E04D25" w:rsidP="00E22B10">
      <w:pPr>
        <w:spacing w:after="0" w:line="240" w:lineRule="auto"/>
        <w:jc w:val="both"/>
        <w:rPr>
          <w:rFonts w:ascii="Arial" w:hAnsi="Arial" w:cs="Arial"/>
        </w:rPr>
      </w:pPr>
      <w:r>
        <w:rPr>
          <w:rFonts w:ascii="Arial" w:hAnsi="Arial" w:cs="Arial"/>
        </w:rPr>
        <w:t>Technique d’achat :</w:t>
      </w:r>
    </w:p>
    <w:p w14:paraId="67D303E5" w14:textId="60D93A53" w:rsidR="00E04D25" w:rsidRPr="00E04D25" w:rsidRDefault="00E04D25" w:rsidP="00E22B10">
      <w:pPr>
        <w:spacing w:after="0" w:line="240" w:lineRule="auto"/>
        <w:jc w:val="both"/>
        <w:rPr>
          <w:rFonts w:ascii="Arial" w:hAnsi="Arial" w:cs="Arial"/>
          <w:color w:val="007BB8"/>
        </w:rPr>
      </w:pPr>
      <w:r w:rsidRPr="00E04D25">
        <w:rPr>
          <w:rFonts w:ascii="Arial" w:hAnsi="Arial" w:cs="Arial"/>
          <w:color w:val="007BB8"/>
        </w:rPr>
        <w:t>Marché ordinaire</w:t>
      </w:r>
    </w:p>
    <w:p w14:paraId="3570D5D1" w14:textId="2EF869B3" w:rsidR="00120F8D" w:rsidRPr="00E22B10" w:rsidRDefault="00120F8D" w:rsidP="00E22B10">
      <w:pPr>
        <w:spacing w:after="0" w:line="240" w:lineRule="auto"/>
        <w:jc w:val="both"/>
        <w:rPr>
          <w:rFonts w:ascii="Arial" w:hAnsi="Arial" w:cs="Arial"/>
        </w:rPr>
      </w:pPr>
      <w:r w:rsidRPr="00C71990">
        <w:rPr>
          <w:rFonts w:ascii="Arial" w:hAnsi="Arial" w:cs="Arial"/>
        </w:rPr>
        <w:t>Date et heure limite de réception des plis :</w:t>
      </w:r>
    </w:p>
    <w:p w14:paraId="6DAEC3D7" w14:textId="7FAD1307" w:rsidR="00764B1F" w:rsidRPr="00764B1F" w:rsidRDefault="00764B1F" w:rsidP="00E22B10">
      <w:pPr>
        <w:spacing w:after="0" w:line="240" w:lineRule="auto"/>
        <w:jc w:val="both"/>
        <w:rPr>
          <w:rFonts w:ascii="Arial" w:hAnsi="Arial" w:cs="Arial"/>
          <w:color w:val="007BB8"/>
        </w:rPr>
      </w:pPr>
      <w:r w:rsidRPr="00764B1F">
        <w:rPr>
          <w:rFonts w:ascii="Arial" w:hAnsi="Arial" w:cs="Arial"/>
          <w:color w:val="007BB8"/>
        </w:rPr>
        <w:t>17/06/2024</w:t>
      </w:r>
      <w:r w:rsidR="00120F8D" w:rsidRPr="00764B1F">
        <w:rPr>
          <w:rFonts w:ascii="Arial" w:hAnsi="Arial" w:cs="Arial"/>
          <w:color w:val="007BB8"/>
        </w:rPr>
        <w:t xml:space="preserve"> à </w:t>
      </w:r>
      <w:r w:rsidRPr="00764B1F">
        <w:rPr>
          <w:rFonts w:ascii="Arial" w:hAnsi="Arial" w:cs="Arial"/>
          <w:color w:val="007BB8"/>
        </w:rPr>
        <w:t>17</w:t>
      </w:r>
      <w:r w:rsidR="00120F8D" w:rsidRPr="00764B1F">
        <w:rPr>
          <w:rFonts w:ascii="Arial" w:hAnsi="Arial" w:cs="Arial"/>
          <w:color w:val="007BB8"/>
        </w:rPr>
        <w:t>H</w:t>
      </w:r>
      <w:r w:rsidRPr="00764B1F">
        <w:rPr>
          <w:rFonts w:ascii="Arial" w:hAnsi="Arial" w:cs="Arial"/>
          <w:color w:val="007BB8"/>
        </w:rPr>
        <w:t>00</w:t>
      </w:r>
    </w:p>
    <w:p w14:paraId="09A16053" w14:textId="5AD0483A" w:rsidR="0086307A" w:rsidRDefault="0086307A" w:rsidP="00E22B10">
      <w:pPr>
        <w:spacing w:after="0" w:line="240" w:lineRule="auto"/>
        <w:jc w:val="both"/>
        <w:rPr>
          <w:rFonts w:ascii="Arial" w:hAnsi="Arial" w:cs="Arial"/>
        </w:rPr>
      </w:pPr>
      <w:r w:rsidRPr="0086307A">
        <w:rPr>
          <w:rFonts w:ascii="Arial" w:hAnsi="Arial" w:cs="Arial"/>
        </w:rPr>
        <w:t>Présentation des offres par catalogue électronique :</w:t>
      </w:r>
    </w:p>
    <w:p w14:paraId="6EC50B19" w14:textId="69EB75FE" w:rsidR="0086307A" w:rsidRDefault="0086307A" w:rsidP="00E22B10">
      <w:pPr>
        <w:spacing w:after="0" w:line="240" w:lineRule="auto"/>
        <w:jc w:val="both"/>
        <w:rPr>
          <w:rFonts w:ascii="Arial" w:hAnsi="Arial" w:cs="Arial"/>
          <w:color w:val="007BB8"/>
        </w:rPr>
      </w:pPr>
      <w:r w:rsidRPr="0086307A">
        <w:rPr>
          <w:rFonts w:ascii="Arial" w:hAnsi="Arial" w:cs="Arial"/>
          <w:color w:val="007BB8"/>
        </w:rPr>
        <w:t>Interdite</w:t>
      </w:r>
    </w:p>
    <w:p w14:paraId="1C61FE35" w14:textId="1D36EB61" w:rsidR="0086307A" w:rsidRDefault="0086307A" w:rsidP="00E22B10">
      <w:pPr>
        <w:spacing w:after="0" w:line="240" w:lineRule="auto"/>
        <w:jc w:val="both"/>
        <w:rPr>
          <w:rFonts w:ascii="Arial" w:hAnsi="Arial" w:cs="Arial"/>
          <w:color w:val="007BB8"/>
        </w:rPr>
      </w:pPr>
      <w:r w:rsidRPr="0086307A">
        <w:rPr>
          <w:rFonts w:ascii="Arial" w:hAnsi="Arial" w:cs="Arial"/>
        </w:rPr>
        <w:t>Réduction du nombre de candidats :</w:t>
      </w:r>
    </w:p>
    <w:p w14:paraId="52782BC9" w14:textId="19E31D4E" w:rsidR="0086307A" w:rsidRPr="0086307A" w:rsidRDefault="0086307A" w:rsidP="00E22B10">
      <w:pPr>
        <w:spacing w:after="0" w:line="240" w:lineRule="auto"/>
        <w:jc w:val="both"/>
        <w:rPr>
          <w:rFonts w:ascii="Arial" w:hAnsi="Arial" w:cs="Arial"/>
          <w:color w:val="007BB8"/>
        </w:rPr>
      </w:pPr>
      <w:r>
        <w:rPr>
          <w:rFonts w:ascii="Arial" w:hAnsi="Arial" w:cs="Arial"/>
          <w:color w:val="007BB8"/>
        </w:rPr>
        <w:t>Non</w:t>
      </w:r>
    </w:p>
    <w:p w14:paraId="0DAF2EC9" w14:textId="0D026BB7" w:rsidR="008B5E35" w:rsidRPr="008B5E35" w:rsidRDefault="008B5E35" w:rsidP="00E22B10">
      <w:pPr>
        <w:spacing w:after="0" w:line="240" w:lineRule="auto"/>
        <w:jc w:val="both"/>
        <w:rPr>
          <w:rFonts w:ascii="Arial" w:hAnsi="Arial" w:cs="Arial"/>
        </w:rPr>
      </w:pPr>
      <w:r w:rsidRPr="008B5E35">
        <w:rPr>
          <w:rFonts w:ascii="Arial" w:hAnsi="Arial" w:cs="Arial"/>
        </w:rPr>
        <w:t>Délai de validité des offres :</w:t>
      </w:r>
    </w:p>
    <w:p w14:paraId="455A4B1C" w14:textId="6ED5E006" w:rsidR="008B5E35" w:rsidRPr="008B5E35" w:rsidRDefault="008B5E35" w:rsidP="00E22B10">
      <w:pPr>
        <w:spacing w:after="0" w:line="240" w:lineRule="auto"/>
        <w:jc w:val="both"/>
        <w:rPr>
          <w:rFonts w:ascii="Arial" w:hAnsi="Arial" w:cs="Arial"/>
          <w:color w:val="007BB8"/>
        </w:rPr>
      </w:pPr>
      <w:r w:rsidRPr="008B5E35">
        <w:rPr>
          <w:rFonts w:ascii="Arial" w:hAnsi="Arial" w:cs="Arial"/>
          <w:color w:val="007BB8"/>
        </w:rPr>
        <w:t>4 mois à compter de la date limite de réception des offres</w:t>
      </w:r>
    </w:p>
    <w:p w14:paraId="3A9F3DB0" w14:textId="55FEEB67" w:rsidR="00120F8D" w:rsidRPr="00E22B10" w:rsidRDefault="00120F8D" w:rsidP="00E22B10">
      <w:pPr>
        <w:spacing w:after="0" w:line="240" w:lineRule="auto"/>
        <w:jc w:val="both"/>
        <w:rPr>
          <w:rFonts w:ascii="Arial" w:hAnsi="Arial" w:cs="Arial"/>
        </w:rPr>
      </w:pPr>
      <w:r w:rsidRPr="00E22B10">
        <w:rPr>
          <w:rFonts w:ascii="Arial" w:hAnsi="Arial" w:cs="Arial"/>
        </w:rPr>
        <w:t>Possibilité d’attribution sans négociation :</w:t>
      </w:r>
    </w:p>
    <w:p w14:paraId="0C66A771" w14:textId="3175D933"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Oui</w:t>
      </w:r>
    </w:p>
    <w:p w14:paraId="3711E40B" w14:textId="336E7B90" w:rsidR="00120F8D" w:rsidRPr="00E22B10" w:rsidRDefault="00120F8D" w:rsidP="00E22B10">
      <w:pPr>
        <w:spacing w:after="0" w:line="240" w:lineRule="auto"/>
        <w:jc w:val="both"/>
        <w:rPr>
          <w:rFonts w:ascii="Arial" w:hAnsi="Arial" w:cs="Arial"/>
        </w:rPr>
      </w:pPr>
      <w:r w:rsidRPr="00E22B10">
        <w:rPr>
          <w:rFonts w:ascii="Arial" w:hAnsi="Arial" w:cs="Arial"/>
        </w:rPr>
        <w:t>Variantes :</w:t>
      </w:r>
    </w:p>
    <w:p w14:paraId="381A248C" w14:textId="30870C85" w:rsidR="00120F8D" w:rsidRPr="00E22B10" w:rsidRDefault="00120F8D" w:rsidP="00E22B10">
      <w:pPr>
        <w:spacing w:after="0" w:line="240" w:lineRule="auto"/>
        <w:jc w:val="both"/>
        <w:rPr>
          <w:rFonts w:ascii="Arial" w:hAnsi="Arial" w:cs="Arial"/>
          <w:color w:val="0070C0"/>
        </w:rPr>
      </w:pPr>
      <w:r w:rsidRPr="00120F8D">
        <w:rPr>
          <w:rFonts w:ascii="Arial" w:hAnsi="Arial" w:cs="Arial"/>
          <w:color w:val="0070C0"/>
        </w:rPr>
        <w:t>Aucune variante n'est autorisée.</w:t>
      </w:r>
    </w:p>
    <w:p w14:paraId="4AA65CEE" w14:textId="1FD70B40" w:rsidR="00120F8D" w:rsidRPr="00E22B10" w:rsidRDefault="00120F8D" w:rsidP="00E22B10">
      <w:pPr>
        <w:spacing w:after="0" w:line="240" w:lineRule="auto"/>
        <w:jc w:val="both"/>
        <w:rPr>
          <w:rFonts w:ascii="Arial" w:hAnsi="Arial" w:cs="Arial"/>
        </w:rPr>
      </w:pPr>
      <w:r w:rsidRPr="00E22B10">
        <w:rPr>
          <w:rFonts w:ascii="Arial" w:hAnsi="Arial" w:cs="Arial"/>
        </w:rPr>
        <w:t>Critères d’attribution :</w:t>
      </w:r>
    </w:p>
    <w:p w14:paraId="391A6E69" w14:textId="70566E70"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Voir le règlement de la consultation</w:t>
      </w:r>
    </w:p>
    <w:p w14:paraId="71181354" w14:textId="77777777" w:rsidR="00120F8D" w:rsidRPr="00E22B10" w:rsidRDefault="00120F8D" w:rsidP="00E22B10">
      <w:pPr>
        <w:spacing w:after="0" w:line="240" w:lineRule="auto"/>
        <w:jc w:val="both"/>
        <w:rPr>
          <w:rFonts w:ascii="Arial" w:hAnsi="Arial" w:cs="Arial"/>
          <w:color w:val="0070C0"/>
        </w:rPr>
      </w:pPr>
    </w:p>
    <w:p w14:paraId="735CCE0D" w14:textId="15951B48" w:rsidR="00120F8D" w:rsidRPr="00C71990" w:rsidRDefault="00120F8D" w:rsidP="00C71990">
      <w:pPr>
        <w:shd w:val="clear" w:color="auto" w:fill="4472C4" w:themeFill="accent1"/>
        <w:spacing w:after="0" w:line="240" w:lineRule="auto"/>
        <w:jc w:val="both"/>
        <w:rPr>
          <w:rFonts w:ascii="Arial" w:hAnsi="Arial" w:cs="Arial"/>
          <w:b/>
          <w:bCs/>
          <w:color w:val="FFFFFF" w:themeColor="background1"/>
        </w:rPr>
      </w:pPr>
      <w:r w:rsidRPr="00C71990">
        <w:rPr>
          <w:rFonts w:ascii="Arial" w:hAnsi="Arial" w:cs="Arial"/>
          <w:b/>
          <w:bCs/>
          <w:color w:val="FFFFFF" w:themeColor="background1"/>
        </w:rPr>
        <w:t>SECTION 4 : Identification du marché</w:t>
      </w:r>
    </w:p>
    <w:p w14:paraId="6772D9BE" w14:textId="77777777" w:rsidR="00C71990" w:rsidRDefault="00C71990" w:rsidP="00E22B10">
      <w:pPr>
        <w:spacing w:after="0" w:line="240" w:lineRule="auto"/>
        <w:jc w:val="both"/>
        <w:rPr>
          <w:rFonts w:ascii="Arial" w:hAnsi="Arial" w:cs="Arial"/>
        </w:rPr>
      </w:pPr>
    </w:p>
    <w:p w14:paraId="663A4EBC" w14:textId="33F5600E" w:rsidR="00120F8D" w:rsidRPr="00E22B10" w:rsidRDefault="00120F8D" w:rsidP="00E22B10">
      <w:pPr>
        <w:spacing w:after="0" w:line="240" w:lineRule="auto"/>
        <w:jc w:val="both"/>
        <w:rPr>
          <w:rFonts w:ascii="Arial" w:hAnsi="Arial" w:cs="Arial"/>
        </w:rPr>
      </w:pPr>
      <w:r w:rsidRPr="00E22B10">
        <w:rPr>
          <w:rFonts w:ascii="Arial" w:hAnsi="Arial" w:cs="Arial"/>
        </w:rPr>
        <w:t xml:space="preserve">Intitulé du marché : </w:t>
      </w:r>
    </w:p>
    <w:p w14:paraId="789F7225" w14:textId="41542C62"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MAPA Maîtrise d'œuvre concernant le projet de loges à Colomars</w:t>
      </w:r>
    </w:p>
    <w:p w14:paraId="70D701BF" w14:textId="77777777" w:rsidR="0086307A" w:rsidRDefault="0086307A" w:rsidP="00E22B10">
      <w:pPr>
        <w:spacing w:after="0" w:line="240" w:lineRule="auto"/>
        <w:jc w:val="both"/>
        <w:rPr>
          <w:rFonts w:ascii="Arial" w:hAnsi="Arial" w:cs="Arial"/>
        </w:rPr>
      </w:pPr>
      <w:r>
        <w:rPr>
          <w:rFonts w:ascii="Arial" w:hAnsi="Arial" w:cs="Arial"/>
        </w:rPr>
        <w:t>Code CPV Principal</w:t>
      </w:r>
    </w:p>
    <w:p w14:paraId="1203B356" w14:textId="30DEDD27" w:rsidR="00120F8D" w:rsidRPr="00E22B10" w:rsidRDefault="00120F8D" w:rsidP="00E22B10">
      <w:pPr>
        <w:spacing w:after="0" w:line="240" w:lineRule="auto"/>
        <w:jc w:val="both"/>
        <w:rPr>
          <w:rFonts w:ascii="Arial" w:hAnsi="Arial" w:cs="Arial"/>
        </w:rPr>
      </w:pPr>
      <w:r w:rsidRPr="00E22B10">
        <w:rPr>
          <w:rFonts w:ascii="Arial" w:hAnsi="Arial" w:cs="Arial"/>
        </w:rPr>
        <w:t xml:space="preserve">Descripteur principal : </w:t>
      </w:r>
    </w:p>
    <w:p w14:paraId="48553AEB" w14:textId="65EB6161"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71240000-2</w:t>
      </w:r>
    </w:p>
    <w:p w14:paraId="041A9C1D" w14:textId="151456DE" w:rsidR="00120F8D" w:rsidRPr="00E22B10" w:rsidRDefault="00120F8D" w:rsidP="00E22B10">
      <w:pPr>
        <w:spacing w:after="0" w:line="240" w:lineRule="auto"/>
        <w:jc w:val="both"/>
        <w:rPr>
          <w:rFonts w:ascii="Arial" w:hAnsi="Arial" w:cs="Arial"/>
        </w:rPr>
      </w:pPr>
      <w:r w:rsidRPr="00E22B10">
        <w:rPr>
          <w:rFonts w:ascii="Arial" w:hAnsi="Arial" w:cs="Arial"/>
        </w:rPr>
        <w:t>Type de marché :</w:t>
      </w:r>
    </w:p>
    <w:p w14:paraId="5EAA40DB" w14:textId="474A5D08"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 xml:space="preserve">Services </w:t>
      </w:r>
    </w:p>
    <w:p w14:paraId="6BC81108" w14:textId="73A9BDC2" w:rsidR="00120F8D" w:rsidRPr="00E22B10" w:rsidRDefault="00120F8D" w:rsidP="00E22B10">
      <w:pPr>
        <w:spacing w:after="0" w:line="240" w:lineRule="auto"/>
        <w:jc w:val="both"/>
        <w:rPr>
          <w:rFonts w:ascii="Arial" w:hAnsi="Arial" w:cs="Arial"/>
        </w:rPr>
      </w:pPr>
      <w:r w:rsidRPr="00E22B10">
        <w:rPr>
          <w:rFonts w:ascii="Arial" w:hAnsi="Arial" w:cs="Arial"/>
        </w:rPr>
        <w:t>Description succincte du marché :</w:t>
      </w:r>
    </w:p>
    <w:p w14:paraId="669786A5" w14:textId="473C92B1" w:rsidR="00120F8D" w:rsidRPr="00120F8D" w:rsidRDefault="00120F8D" w:rsidP="00E22B10">
      <w:pPr>
        <w:spacing w:after="0" w:line="240" w:lineRule="auto"/>
        <w:jc w:val="both"/>
        <w:rPr>
          <w:rFonts w:ascii="Arial" w:hAnsi="Arial" w:cs="Arial"/>
          <w:color w:val="0070C0"/>
        </w:rPr>
      </w:pPr>
      <w:r w:rsidRPr="00120F8D">
        <w:rPr>
          <w:rFonts w:ascii="Arial" w:hAnsi="Arial" w:cs="Arial"/>
          <w:color w:val="0070C0"/>
        </w:rPr>
        <w:t>La présente consultation concerne un marché de maîtrise d’œuvre pour la réalisation des équipements publics suivants : Projet des Loges.</w:t>
      </w:r>
    </w:p>
    <w:p w14:paraId="0E186486" w14:textId="77777777" w:rsidR="00764B1F" w:rsidRPr="00764B1F" w:rsidRDefault="00764B1F" w:rsidP="00764B1F">
      <w:pPr>
        <w:spacing w:after="0" w:line="240" w:lineRule="auto"/>
        <w:jc w:val="both"/>
        <w:rPr>
          <w:rFonts w:ascii="Arial" w:hAnsi="Arial" w:cs="Arial"/>
          <w:color w:val="0070C0"/>
        </w:rPr>
      </w:pPr>
      <w:r w:rsidRPr="00764B1F">
        <w:rPr>
          <w:rFonts w:ascii="Arial" w:hAnsi="Arial" w:cs="Arial"/>
          <w:color w:val="0070C0"/>
        </w:rPr>
        <w:t xml:space="preserve">L’opération consiste en un aménagement de l’espace de sports et loisirs Fort Casal autour des terrains de tennis et du terrain de foot sur l’emprise existante à savoir : démolition du bâtiment </w:t>
      </w:r>
      <w:r w:rsidRPr="00764B1F">
        <w:rPr>
          <w:rFonts w:ascii="Arial" w:hAnsi="Arial" w:cs="Arial"/>
          <w:color w:val="0070C0"/>
        </w:rPr>
        <w:lastRenderedPageBreak/>
        <w:t>vestiaire existant et reconstruction en lieu et place du nouveau bâtiment sur 2 niveaux avec :  nouveaux vestiaires pour joueurs et arbitres, stockage, une buvette et un coin bureau.</w:t>
      </w:r>
    </w:p>
    <w:p w14:paraId="5D2EA544" w14:textId="54048290" w:rsidR="00120F8D" w:rsidRPr="00E22B10" w:rsidRDefault="00120F8D" w:rsidP="00E22B10">
      <w:pPr>
        <w:spacing w:after="0" w:line="240" w:lineRule="auto"/>
        <w:jc w:val="both"/>
        <w:rPr>
          <w:rFonts w:ascii="Arial" w:hAnsi="Arial" w:cs="Arial"/>
        </w:rPr>
      </w:pPr>
      <w:r w:rsidRPr="00E22B10">
        <w:rPr>
          <w:rFonts w:ascii="Arial" w:hAnsi="Arial" w:cs="Arial"/>
        </w:rPr>
        <w:t>Lieu principal d’exécution du marché :</w:t>
      </w:r>
    </w:p>
    <w:p w14:paraId="5023EC49" w14:textId="018601C0"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Commune de Colomars</w:t>
      </w:r>
    </w:p>
    <w:p w14:paraId="5D83854B" w14:textId="2DEC782D" w:rsidR="00120F8D" w:rsidRPr="00E22B10" w:rsidRDefault="00120F8D" w:rsidP="00E22B10">
      <w:pPr>
        <w:spacing w:after="0" w:line="240" w:lineRule="auto"/>
        <w:jc w:val="both"/>
        <w:rPr>
          <w:rFonts w:ascii="Arial" w:hAnsi="Arial" w:cs="Arial"/>
        </w:rPr>
      </w:pPr>
      <w:r w:rsidRPr="00E22B10">
        <w:rPr>
          <w:rFonts w:ascii="Arial" w:hAnsi="Arial" w:cs="Arial"/>
        </w:rPr>
        <w:t>Durée du marché (en mois) :</w:t>
      </w:r>
    </w:p>
    <w:p w14:paraId="7EEE1950" w14:textId="64DE7FF6"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 xml:space="preserve">34 </w:t>
      </w:r>
    </w:p>
    <w:p w14:paraId="052411B1" w14:textId="5D20783A" w:rsidR="00120F8D" w:rsidRPr="00E22B10" w:rsidRDefault="00120F8D" w:rsidP="00E22B10">
      <w:pPr>
        <w:spacing w:after="0" w:line="240" w:lineRule="auto"/>
        <w:jc w:val="both"/>
        <w:rPr>
          <w:rFonts w:ascii="Arial" w:hAnsi="Arial" w:cs="Arial"/>
        </w:rPr>
      </w:pPr>
      <w:r w:rsidRPr="00E22B10">
        <w:rPr>
          <w:rFonts w:ascii="Arial" w:hAnsi="Arial" w:cs="Arial"/>
        </w:rPr>
        <w:t>Valeur estimée (HT) :</w:t>
      </w:r>
    </w:p>
    <w:p w14:paraId="17CB1203" w14:textId="17F5CF03"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750 000 euros</w:t>
      </w:r>
      <w:r w:rsidR="002A2622">
        <w:rPr>
          <w:rFonts w:ascii="Arial" w:hAnsi="Arial" w:cs="Arial"/>
          <w:color w:val="0070C0"/>
        </w:rPr>
        <w:t xml:space="preserve"> (coût travaux)</w:t>
      </w:r>
    </w:p>
    <w:p w14:paraId="468ED40C" w14:textId="75BD1271" w:rsidR="00120F8D" w:rsidRPr="00E22B10" w:rsidRDefault="00120F8D" w:rsidP="00E22B10">
      <w:pPr>
        <w:spacing w:after="0" w:line="240" w:lineRule="auto"/>
        <w:jc w:val="both"/>
        <w:rPr>
          <w:rFonts w:ascii="Arial" w:hAnsi="Arial" w:cs="Arial"/>
        </w:rPr>
      </w:pPr>
      <w:r w:rsidRPr="00E22B10">
        <w:rPr>
          <w:rFonts w:ascii="Arial" w:hAnsi="Arial" w:cs="Arial"/>
        </w:rPr>
        <w:t>La consultation comporte des tranches :</w:t>
      </w:r>
    </w:p>
    <w:p w14:paraId="5B1C7092" w14:textId="7D7FF1BF" w:rsidR="00120F8D" w:rsidRDefault="00120F8D" w:rsidP="00E22B10">
      <w:pPr>
        <w:spacing w:after="0" w:line="240" w:lineRule="auto"/>
        <w:jc w:val="both"/>
        <w:rPr>
          <w:rFonts w:ascii="Arial" w:hAnsi="Arial" w:cs="Arial"/>
          <w:color w:val="0070C0"/>
        </w:rPr>
      </w:pPr>
      <w:r w:rsidRPr="00E22B10">
        <w:rPr>
          <w:rFonts w:ascii="Arial" w:hAnsi="Arial" w:cs="Arial"/>
          <w:color w:val="0070C0"/>
        </w:rPr>
        <w:t>Non</w:t>
      </w:r>
    </w:p>
    <w:p w14:paraId="3B2F559B" w14:textId="38044233" w:rsidR="0086307A" w:rsidRPr="0086307A" w:rsidRDefault="0086307A" w:rsidP="00E22B10">
      <w:pPr>
        <w:spacing w:after="0" w:line="240" w:lineRule="auto"/>
        <w:jc w:val="both"/>
        <w:rPr>
          <w:rFonts w:ascii="Arial" w:hAnsi="Arial" w:cs="Arial"/>
        </w:rPr>
      </w:pPr>
      <w:r>
        <w:rPr>
          <w:rFonts w:ascii="Arial" w:hAnsi="Arial" w:cs="Arial"/>
        </w:rPr>
        <w:t>La consultation prévoit une r</w:t>
      </w:r>
      <w:r w:rsidRPr="0086307A">
        <w:rPr>
          <w:rFonts w:ascii="Arial" w:hAnsi="Arial" w:cs="Arial"/>
        </w:rPr>
        <w:t>éservation de tout ou partie </w:t>
      </w:r>
      <w:r>
        <w:rPr>
          <w:rFonts w:ascii="Arial" w:hAnsi="Arial" w:cs="Arial"/>
        </w:rPr>
        <w:t xml:space="preserve">du marché </w:t>
      </w:r>
      <w:r w:rsidRPr="0086307A">
        <w:rPr>
          <w:rFonts w:ascii="Arial" w:hAnsi="Arial" w:cs="Arial"/>
        </w:rPr>
        <w:t>:</w:t>
      </w:r>
    </w:p>
    <w:p w14:paraId="59C8EE1F" w14:textId="55E0398B" w:rsidR="0086307A" w:rsidRPr="00E22B10" w:rsidRDefault="0086307A" w:rsidP="00E22B10">
      <w:pPr>
        <w:spacing w:after="0" w:line="240" w:lineRule="auto"/>
        <w:jc w:val="both"/>
        <w:rPr>
          <w:rFonts w:ascii="Arial" w:hAnsi="Arial" w:cs="Arial"/>
          <w:color w:val="0070C0"/>
        </w:rPr>
      </w:pPr>
      <w:r>
        <w:rPr>
          <w:rFonts w:ascii="Arial" w:hAnsi="Arial" w:cs="Arial"/>
          <w:color w:val="0070C0"/>
        </w:rPr>
        <w:t>Non</w:t>
      </w:r>
    </w:p>
    <w:p w14:paraId="6EEF26EB" w14:textId="15981ABC" w:rsidR="00120F8D" w:rsidRPr="00E22B10" w:rsidRDefault="00120F8D" w:rsidP="00E22B10">
      <w:pPr>
        <w:spacing w:after="0" w:line="240" w:lineRule="auto"/>
        <w:jc w:val="both"/>
        <w:rPr>
          <w:rFonts w:ascii="Arial" w:hAnsi="Arial" w:cs="Arial"/>
        </w:rPr>
      </w:pPr>
      <w:r w:rsidRPr="00E22B10">
        <w:rPr>
          <w:rFonts w:ascii="Arial" w:hAnsi="Arial" w:cs="Arial"/>
        </w:rPr>
        <w:t>Marché alloti :</w:t>
      </w:r>
    </w:p>
    <w:p w14:paraId="4BE950CF" w14:textId="19E69A29"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Non</w:t>
      </w:r>
    </w:p>
    <w:p w14:paraId="6499DD04" w14:textId="77777777" w:rsidR="00120F8D" w:rsidRPr="00E22B10" w:rsidRDefault="00120F8D" w:rsidP="00E22B10">
      <w:pPr>
        <w:spacing w:after="0" w:line="240" w:lineRule="auto"/>
        <w:jc w:val="both"/>
        <w:rPr>
          <w:rFonts w:ascii="Arial" w:hAnsi="Arial" w:cs="Arial"/>
        </w:rPr>
      </w:pPr>
      <w:r w:rsidRPr="00E22B10">
        <w:rPr>
          <w:rFonts w:ascii="Arial" w:hAnsi="Arial" w:cs="Arial"/>
        </w:rPr>
        <w:t xml:space="preserve">Mots descripteurs : </w:t>
      </w:r>
    </w:p>
    <w:p w14:paraId="2EA51726" w14:textId="79D467AA" w:rsidR="00120F8D" w:rsidRPr="00E22B10" w:rsidRDefault="00120F8D" w:rsidP="00E22B10">
      <w:pPr>
        <w:spacing w:after="0" w:line="240" w:lineRule="auto"/>
        <w:jc w:val="both"/>
        <w:rPr>
          <w:rFonts w:ascii="Arial" w:hAnsi="Arial" w:cs="Arial"/>
        </w:rPr>
      </w:pPr>
      <w:r w:rsidRPr="00E22B10">
        <w:rPr>
          <w:rFonts w:ascii="Arial" w:hAnsi="Arial" w:cs="Arial"/>
          <w:color w:val="0070C0"/>
        </w:rPr>
        <w:t>Maîtrise d’œuvre</w:t>
      </w:r>
    </w:p>
    <w:p w14:paraId="0CCDF858" w14:textId="77777777" w:rsidR="00120F8D" w:rsidRPr="00E22B10" w:rsidRDefault="00120F8D" w:rsidP="00E22B10">
      <w:pPr>
        <w:spacing w:after="0" w:line="240" w:lineRule="auto"/>
        <w:jc w:val="both"/>
        <w:rPr>
          <w:rFonts w:ascii="Arial" w:hAnsi="Arial" w:cs="Arial"/>
        </w:rPr>
      </w:pPr>
    </w:p>
    <w:p w14:paraId="4D84154A" w14:textId="18096932" w:rsidR="00120F8D" w:rsidRPr="00C71990" w:rsidRDefault="00120F8D" w:rsidP="00C71990">
      <w:pPr>
        <w:shd w:val="clear" w:color="auto" w:fill="4472C4" w:themeFill="accent1"/>
        <w:spacing w:after="0" w:line="240" w:lineRule="auto"/>
        <w:jc w:val="both"/>
        <w:rPr>
          <w:rFonts w:ascii="Arial" w:hAnsi="Arial" w:cs="Arial"/>
          <w:b/>
          <w:bCs/>
          <w:color w:val="FFFFFF" w:themeColor="background1"/>
        </w:rPr>
      </w:pPr>
      <w:r w:rsidRPr="00C71990">
        <w:rPr>
          <w:rFonts w:ascii="Arial" w:hAnsi="Arial" w:cs="Arial"/>
          <w:b/>
          <w:bCs/>
          <w:color w:val="FFFFFF" w:themeColor="background1"/>
        </w:rPr>
        <w:t>SECTION 5 : Lots</w:t>
      </w:r>
    </w:p>
    <w:p w14:paraId="078FC603" w14:textId="77777777" w:rsidR="00C71990" w:rsidRDefault="00C71990" w:rsidP="00E22B10">
      <w:pPr>
        <w:spacing w:after="0" w:line="240" w:lineRule="auto"/>
        <w:jc w:val="both"/>
        <w:rPr>
          <w:rFonts w:ascii="Arial" w:hAnsi="Arial" w:cs="Arial"/>
          <w:color w:val="0070C0"/>
        </w:rPr>
      </w:pPr>
    </w:p>
    <w:p w14:paraId="6917F77B" w14:textId="3C183400" w:rsidR="00120F8D" w:rsidRPr="00E22B10" w:rsidRDefault="00120F8D" w:rsidP="00E22B10">
      <w:pPr>
        <w:spacing w:after="0" w:line="240" w:lineRule="auto"/>
        <w:jc w:val="both"/>
        <w:rPr>
          <w:rFonts w:ascii="Arial" w:hAnsi="Arial" w:cs="Arial"/>
          <w:color w:val="0070C0"/>
        </w:rPr>
      </w:pPr>
      <w:r w:rsidRPr="00E22B10">
        <w:rPr>
          <w:rFonts w:ascii="Arial" w:hAnsi="Arial" w:cs="Arial"/>
          <w:color w:val="0070C0"/>
        </w:rPr>
        <w:t>Sans objet.</w:t>
      </w:r>
    </w:p>
    <w:p w14:paraId="30AA7C94" w14:textId="77777777" w:rsidR="00120F8D" w:rsidRPr="00E22B10" w:rsidRDefault="00120F8D" w:rsidP="00E22B10">
      <w:pPr>
        <w:spacing w:after="0" w:line="240" w:lineRule="auto"/>
        <w:jc w:val="both"/>
        <w:rPr>
          <w:rFonts w:ascii="Arial" w:hAnsi="Arial" w:cs="Arial"/>
        </w:rPr>
      </w:pPr>
    </w:p>
    <w:p w14:paraId="1AB7D719" w14:textId="6BCBF041" w:rsidR="00120F8D" w:rsidRPr="00C71990" w:rsidRDefault="00120F8D" w:rsidP="00C71990">
      <w:pPr>
        <w:shd w:val="clear" w:color="auto" w:fill="4472C4" w:themeFill="accent1"/>
        <w:spacing w:after="0" w:line="240" w:lineRule="auto"/>
        <w:jc w:val="both"/>
        <w:rPr>
          <w:rFonts w:ascii="Arial" w:hAnsi="Arial" w:cs="Arial"/>
          <w:b/>
          <w:bCs/>
          <w:color w:val="FFFFFF" w:themeColor="background1"/>
        </w:rPr>
      </w:pPr>
      <w:r w:rsidRPr="00C71990">
        <w:rPr>
          <w:rFonts w:ascii="Arial" w:hAnsi="Arial" w:cs="Arial"/>
          <w:b/>
          <w:bCs/>
          <w:color w:val="FFFFFF" w:themeColor="background1"/>
        </w:rPr>
        <w:t>SECTION 6 : Informations complémentaires</w:t>
      </w:r>
    </w:p>
    <w:p w14:paraId="2F3C6BC4" w14:textId="77777777" w:rsidR="00C71990" w:rsidRDefault="00C71990" w:rsidP="00E22B10">
      <w:pPr>
        <w:spacing w:after="0" w:line="240" w:lineRule="auto"/>
        <w:jc w:val="both"/>
        <w:rPr>
          <w:rFonts w:ascii="Arial" w:hAnsi="Arial" w:cs="Arial"/>
        </w:rPr>
      </w:pPr>
    </w:p>
    <w:p w14:paraId="145C4D3B" w14:textId="31AC04AF" w:rsidR="00120F8D" w:rsidRPr="00E22B10" w:rsidRDefault="00120F8D" w:rsidP="00E22B10">
      <w:pPr>
        <w:spacing w:after="0" w:line="240" w:lineRule="auto"/>
        <w:jc w:val="both"/>
        <w:rPr>
          <w:rFonts w:ascii="Arial" w:hAnsi="Arial" w:cs="Arial"/>
        </w:rPr>
      </w:pPr>
      <w:r w:rsidRPr="00E22B10">
        <w:rPr>
          <w:rFonts w:ascii="Arial" w:hAnsi="Arial" w:cs="Arial"/>
        </w:rPr>
        <w:t>Visite obligatoire :</w:t>
      </w:r>
    </w:p>
    <w:p w14:paraId="2E85D1E1" w14:textId="43F2595D" w:rsidR="00120F8D" w:rsidRDefault="00120F8D" w:rsidP="00764B1F">
      <w:pPr>
        <w:spacing w:after="0" w:line="240" w:lineRule="auto"/>
        <w:jc w:val="both"/>
        <w:rPr>
          <w:rFonts w:ascii="Arial" w:hAnsi="Arial" w:cs="Arial"/>
          <w:color w:val="0070C0"/>
        </w:rPr>
      </w:pPr>
      <w:r w:rsidRPr="00764B1F">
        <w:rPr>
          <w:rFonts w:ascii="Arial" w:hAnsi="Arial" w:cs="Arial"/>
          <w:color w:val="0070C0"/>
        </w:rPr>
        <w:t xml:space="preserve">Oui le </w:t>
      </w:r>
      <w:r w:rsidR="00764B1F" w:rsidRPr="00764B1F">
        <w:rPr>
          <w:rFonts w:ascii="Arial" w:hAnsi="Arial" w:cs="Arial"/>
          <w:color w:val="0070C0"/>
        </w:rPr>
        <w:t xml:space="preserve">Lundi 13 mai 2024 à 16H </w:t>
      </w:r>
      <w:r w:rsidR="00764B1F" w:rsidRPr="00764B1F">
        <w:rPr>
          <w:rFonts w:ascii="Arial" w:hAnsi="Arial" w:cs="Arial"/>
          <w:color w:val="0070C0"/>
        </w:rPr>
        <w:t>ou</w:t>
      </w:r>
      <w:r w:rsidR="00764B1F" w:rsidRPr="00764B1F">
        <w:rPr>
          <w:rFonts w:ascii="Arial" w:hAnsi="Arial" w:cs="Arial"/>
          <w:color w:val="0070C0"/>
        </w:rPr>
        <w:t xml:space="preserve"> le mercredi 22 mai 2024 à 14H</w:t>
      </w:r>
    </w:p>
    <w:p w14:paraId="5232A92F" w14:textId="77777777" w:rsidR="00764B1F" w:rsidRPr="00764B1F" w:rsidRDefault="00764B1F" w:rsidP="00764B1F">
      <w:pPr>
        <w:spacing w:after="0" w:line="240" w:lineRule="auto"/>
        <w:jc w:val="both"/>
        <w:rPr>
          <w:rFonts w:ascii="Arial" w:hAnsi="Arial" w:cs="Arial"/>
          <w:color w:val="0070C0"/>
        </w:rPr>
      </w:pPr>
    </w:p>
    <w:p w14:paraId="125B7BA3" w14:textId="3BFF0EE7" w:rsidR="00120F8D" w:rsidRDefault="00120F8D" w:rsidP="00E22B10">
      <w:pPr>
        <w:spacing w:after="0" w:line="240" w:lineRule="auto"/>
        <w:jc w:val="both"/>
        <w:rPr>
          <w:rFonts w:ascii="Arial" w:hAnsi="Arial" w:cs="Arial"/>
        </w:rPr>
      </w:pPr>
      <w:r w:rsidRPr="00E22B10">
        <w:rPr>
          <w:rFonts w:ascii="Arial" w:hAnsi="Arial" w:cs="Arial"/>
        </w:rPr>
        <w:t>Autres informations complémentaires :</w:t>
      </w:r>
    </w:p>
    <w:p w14:paraId="214DF754" w14:textId="77777777" w:rsidR="00625344" w:rsidRDefault="00E04D25" w:rsidP="00E22B10">
      <w:pPr>
        <w:spacing w:after="0" w:line="240" w:lineRule="auto"/>
        <w:jc w:val="both"/>
        <w:rPr>
          <w:rFonts w:ascii="Arial" w:hAnsi="Arial" w:cs="Arial"/>
          <w:color w:val="0070C0"/>
        </w:rPr>
      </w:pPr>
      <w:r>
        <w:rPr>
          <w:rFonts w:ascii="Arial" w:hAnsi="Arial" w:cs="Arial"/>
          <w:color w:val="0070C0"/>
        </w:rPr>
        <w:t xml:space="preserve">Transmission des offres : </w:t>
      </w:r>
      <w:r w:rsidRPr="00E04D25">
        <w:rPr>
          <w:rFonts w:ascii="Arial" w:hAnsi="Arial" w:cs="Arial"/>
          <w:color w:val="0070C0"/>
        </w:rPr>
        <w:t xml:space="preserve">La transmission des plis par voie électronique est imposée pour cette consultation. </w:t>
      </w:r>
      <w:r w:rsidR="00625344">
        <w:rPr>
          <w:rFonts w:ascii="Arial" w:hAnsi="Arial" w:cs="Arial"/>
          <w:color w:val="0070C0"/>
        </w:rPr>
        <w:t>La</w:t>
      </w:r>
      <w:r w:rsidRPr="00E04D25">
        <w:rPr>
          <w:rFonts w:ascii="Arial" w:hAnsi="Arial" w:cs="Arial"/>
          <w:color w:val="0070C0"/>
        </w:rPr>
        <w:t xml:space="preserve"> transmission par voie papier n'est pas autorisée. </w:t>
      </w:r>
    </w:p>
    <w:p w14:paraId="604F6DB4" w14:textId="50928D92" w:rsidR="00120F8D" w:rsidRPr="00EC1126" w:rsidRDefault="00120F8D" w:rsidP="00E22B10">
      <w:pPr>
        <w:spacing w:after="0" w:line="240" w:lineRule="auto"/>
        <w:jc w:val="both"/>
        <w:rPr>
          <w:rFonts w:ascii="Arial" w:hAnsi="Arial" w:cs="Arial"/>
          <w:color w:val="0070C0"/>
        </w:rPr>
      </w:pPr>
      <w:r w:rsidRPr="00EC1126">
        <w:rPr>
          <w:rFonts w:ascii="Arial" w:hAnsi="Arial" w:cs="Arial"/>
          <w:color w:val="0070C0"/>
        </w:rPr>
        <w:t>Négociation : le pouvoir adjudicateur se réserve la possibilité d’engager des négociations avec tous les candidats sélectionnés. Toutefois, le pouvoir adjudicateur se réserve la possibilité d'attribuer le marché sur la base des offres initiales, sans négociation.</w:t>
      </w:r>
    </w:p>
    <w:p w14:paraId="00F8CB69" w14:textId="006E65A1" w:rsidR="00E22B10" w:rsidRPr="00EC1126" w:rsidRDefault="00120F8D" w:rsidP="00E22B10">
      <w:pPr>
        <w:spacing w:after="0" w:line="240" w:lineRule="auto"/>
        <w:jc w:val="both"/>
        <w:rPr>
          <w:rFonts w:ascii="Arial" w:hAnsi="Arial" w:cs="Arial"/>
          <w:color w:val="0070C0"/>
        </w:rPr>
      </w:pPr>
      <w:r w:rsidRPr="00EC1126">
        <w:rPr>
          <w:rFonts w:ascii="Arial" w:hAnsi="Arial" w:cs="Arial"/>
          <w:color w:val="0070C0"/>
        </w:rPr>
        <w:t xml:space="preserve">Procédures de recours : Le tribunal territorialement compétent est le </w:t>
      </w:r>
      <w:bookmarkStart w:id="0" w:name="_Hlk163812377"/>
      <w:r w:rsidRPr="00EC1126">
        <w:rPr>
          <w:rFonts w:ascii="Arial" w:hAnsi="Arial" w:cs="Arial"/>
          <w:bCs/>
          <w:color w:val="0070C0"/>
        </w:rPr>
        <w:t xml:space="preserve">Tribunal administratif de Nice - 18 avenue des fleurs -06050 Nice Cedex 1- Téléphone : 04 89 97 86 00 - Courriel : </w:t>
      </w:r>
      <w:hyperlink r:id="rId9" w:tgtFrame="_self" w:history="1">
        <w:r w:rsidRPr="00EC1126">
          <w:rPr>
            <w:rStyle w:val="Lienhypertexte"/>
            <w:rFonts w:ascii="Arial" w:hAnsi="Arial" w:cs="Arial"/>
            <w:bCs/>
            <w:color w:val="0070C0"/>
          </w:rPr>
          <w:t>greffe.ta-nice@juradm.fr</w:t>
        </w:r>
      </w:hyperlink>
      <w:r w:rsidRPr="00EC1126">
        <w:rPr>
          <w:rFonts w:ascii="Arial" w:hAnsi="Arial" w:cs="Arial"/>
          <w:color w:val="0070C0"/>
        </w:rPr>
        <w:t xml:space="preserve"> – les voies de recours ouvertes aux candidats sont les suivantes : - Référé précontractuel (article L.551-1 et suivants du code de justice administrative), introduit avant la signature du contrat, en cas de manquement aux obligations de publicité et de mise en concurrence - </w:t>
      </w:r>
      <w:r w:rsidRPr="00120F8D">
        <w:rPr>
          <w:rFonts w:ascii="Arial" w:hAnsi="Arial" w:cs="Arial"/>
          <w:color w:val="0070C0"/>
        </w:rPr>
        <w:t>Référé contractuel (article L. 551-13 et suivants du Code de justice administrative) introduit après la signature du contrat, en cas de manquement aux obligations de publicité et de mise en concurrence</w:t>
      </w:r>
      <w:r w:rsidRPr="00EC1126">
        <w:rPr>
          <w:rFonts w:ascii="Arial" w:hAnsi="Arial" w:cs="Arial"/>
          <w:color w:val="0070C0"/>
        </w:rPr>
        <w:t xml:space="preserve"> – recours de pleine </w:t>
      </w:r>
      <w:r w:rsidR="00EC1126" w:rsidRPr="00EC1126">
        <w:rPr>
          <w:rFonts w:ascii="Arial" w:hAnsi="Arial" w:cs="Arial"/>
          <w:color w:val="0070C0"/>
        </w:rPr>
        <w:t>juridiction</w:t>
      </w:r>
      <w:r w:rsidRPr="00EC1126">
        <w:rPr>
          <w:rFonts w:ascii="Arial" w:hAnsi="Arial" w:cs="Arial"/>
          <w:color w:val="0070C0"/>
        </w:rPr>
        <w:t xml:space="preserve"> ouvert aux tiers justifiant d’un intérêt lésé, introduit dans les deux mois suivant la date de conclusion du marché. Le Tribunal administrati</w:t>
      </w:r>
      <w:r w:rsidR="00EC1126">
        <w:rPr>
          <w:rFonts w:ascii="Arial" w:hAnsi="Arial" w:cs="Arial"/>
          <w:color w:val="0070C0"/>
        </w:rPr>
        <w:t>f</w:t>
      </w:r>
      <w:r w:rsidRPr="00EC1126">
        <w:rPr>
          <w:rFonts w:ascii="Arial" w:hAnsi="Arial" w:cs="Arial"/>
          <w:color w:val="0070C0"/>
        </w:rPr>
        <w:t xml:space="preserve"> de Nice peut être saisi par l’application informatique Télérecours citoyens, accessible via le site internet: </w:t>
      </w:r>
      <w:hyperlink r:id="rId10" w:history="1">
        <w:r w:rsidRPr="00EC1126">
          <w:rPr>
            <w:rStyle w:val="Lienhypertexte"/>
            <w:rFonts w:ascii="Arial" w:hAnsi="Arial" w:cs="Arial"/>
            <w:color w:val="0070C0"/>
          </w:rPr>
          <w:t>www.telerecours.fr</w:t>
        </w:r>
      </w:hyperlink>
      <w:r w:rsidRPr="00EC1126">
        <w:rPr>
          <w:rFonts w:ascii="Arial" w:hAnsi="Arial" w:cs="Arial"/>
          <w:color w:val="0070C0"/>
        </w:rPr>
        <w:t xml:space="preserve"> </w:t>
      </w:r>
      <w:bookmarkEnd w:id="0"/>
    </w:p>
    <w:p w14:paraId="38D408C2" w14:textId="77777777" w:rsidR="00C71990" w:rsidRDefault="00C71990" w:rsidP="00E22B10">
      <w:pPr>
        <w:spacing w:after="0" w:line="240" w:lineRule="auto"/>
        <w:jc w:val="both"/>
        <w:rPr>
          <w:rFonts w:ascii="Arial" w:hAnsi="Arial" w:cs="Arial"/>
        </w:rPr>
      </w:pPr>
    </w:p>
    <w:p w14:paraId="43E5DCBD" w14:textId="0DB0204E" w:rsidR="00120F8D" w:rsidRPr="00E22B10" w:rsidRDefault="00120F8D" w:rsidP="00E22B10">
      <w:pPr>
        <w:spacing w:after="0" w:line="240" w:lineRule="auto"/>
        <w:jc w:val="both"/>
        <w:rPr>
          <w:rFonts w:ascii="Arial" w:hAnsi="Arial" w:cs="Arial"/>
        </w:rPr>
      </w:pPr>
      <w:r w:rsidRPr="00E22B10">
        <w:rPr>
          <w:rFonts w:ascii="Arial" w:hAnsi="Arial" w:cs="Arial"/>
        </w:rPr>
        <w:t>Date d’envoi du présent avis :</w:t>
      </w:r>
    </w:p>
    <w:p w14:paraId="6C2C9387" w14:textId="41A3DF7C" w:rsidR="00120F8D" w:rsidRPr="00E22B10" w:rsidRDefault="00120F8D" w:rsidP="00E22B10">
      <w:pPr>
        <w:spacing w:after="0" w:line="240" w:lineRule="auto"/>
        <w:jc w:val="both"/>
        <w:rPr>
          <w:rFonts w:ascii="Arial" w:hAnsi="Arial" w:cs="Arial"/>
          <w:color w:val="FF0000"/>
        </w:rPr>
      </w:pPr>
      <w:r w:rsidRPr="00764B1F">
        <w:rPr>
          <w:rFonts w:ascii="Arial" w:hAnsi="Arial" w:cs="Arial"/>
          <w:color w:val="FF0000"/>
          <w:highlight w:val="yellow"/>
        </w:rPr>
        <w:t>XXXXXXXX</w:t>
      </w:r>
    </w:p>
    <w:p w14:paraId="66EA545B" w14:textId="77777777" w:rsidR="00120F8D" w:rsidRPr="00E22B10" w:rsidRDefault="00120F8D" w:rsidP="00E22B10">
      <w:pPr>
        <w:spacing w:after="0" w:line="240" w:lineRule="auto"/>
        <w:jc w:val="both"/>
        <w:rPr>
          <w:rFonts w:ascii="Arial" w:hAnsi="Arial" w:cs="Arial"/>
        </w:rPr>
      </w:pPr>
    </w:p>
    <w:sectPr w:rsidR="00120F8D" w:rsidRPr="00E22B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B06A6" w14:textId="77777777" w:rsidR="002B2760" w:rsidRDefault="002B2760" w:rsidP="0072391A">
      <w:pPr>
        <w:spacing w:after="0" w:line="240" w:lineRule="auto"/>
      </w:pPr>
      <w:r>
        <w:separator/>
      </w:r>
    </w:p>
  </w:endnote>
  <w:endnote w:type="continuationSeparator" w:id="0">
    <w:p w14:paraId="7E26D4B4" w14:textId="77777777" w:rsidR="002B2760" w:rsidRDefault="002B2760" w:rsidP="0072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i/>
        <w:iCs/>
        <w:sz w:val="20"/>
        <w:szCs w:val="20"/>
      </w:rPr>
      <w:id w:val="1379201434"/>
      <w:docPartObj>
        <w:docPartGallery w:val="Page Numbers (Bottom of Page)"/>
        <w:docPartUnique/>
      </w:docPartObj>
    </w:sdtPr>
    <w:sdtEndPr/>
    <w:sdtContent>
      <w:sdt>
        <w:sdtPr>
          <w:rPr>
            <w:rFonts w:ascii="Arial" w:hAnsi="Arial" w:cs="Arial"/>
            <w:i/>
            <w:iCs/>
            <w:sz w:val="20"/>
            <w:szCs w:val="20"/>
          </w:rPr>
          <w:id w:val="-1769616900"/>
          <w:docPartObj>
            <w:docPartGallery w:val="Page Numbers (Top of Page)"/>
            <w:docPartUnique/>
          </w:docPartObj>
        </w:sdtPr>
        <w:sdtEndPr/>
        <w:sdtContent>
          <w:p w14:paraId="6CA505FA" w14:textId="799948E3" w:rsidR="0072391A" w:rsidRPr="0072391A" w:rsidRDefault="0072391A">
            <w:pPr>
              <w:pStyle w:val="Pieddepage"/>
              <w:jc w:val="right"/>
              <w:rPr>
                <w:rFonts w:ascii="Arial" w:hAnsi="Arial" w:cs="Arial"/>
                <w:i/>
                <w:iCs/>
                <w:sz w:val="20"/>
                <w:szCs w:val="20"/>
              </w:rPr>
            </w:pPr>
            <w:r w:rsidRPr="0072391A">
              <w:rPr>
                <w:rFonts w:ascii="Arial" w:hAnsi="Arial" w:cs="Arial"/>
                <w:i/>
                <w:iCs/>
                <w:sz w:val="20"/>
                <w:szCs w:val="20"/>
              </w:rPr>
              <w:t xml:space="preserve">Page </w:t>
            </w:r>
            <w:r w:rsidRPr="0072391A">
              <w:rPr>
                <w:rFonts w:ascii="Arial" w:hAnsi="Arial" w:cs="Arial"/>
                <w:i/>
                <w:iCs/>
                <w:sz w:val="20"/>
                <w:szCs w:val="20"/>
              </w:rPr>
              <w:fldChar w:fldCharType="begin"/>
            </w:r>
            <w:r w:rsidRPr="0072391A">
              <w:rPr>
                <w:rFonts w:ascii="Arial" w:hAnsi="Arial" w:cs="Arial"/>
                <w:i/>
                <w:iCs/>
                <w:sz w:val="20"/>
                <w:szCs w:val="20"/>
              </w:rPr>
              <w:instrText>PAGE</w:instrText>
            </w:r>
            <w:r w:rsidRPr="0072391A">
              <w:rPr>
                <w:rFonts w:ascii="Arial" w:hAnsi="Arial" w:cs="Arial"/>
                <w:i/>
                <w:iCs/>
                <w:sz w:val="20"/>
                <w:szCs w:val="20"/>
              </w:rPr>
              <w:fldChar w:fldCharType="separate"/>
            </w:r>
            <w:r w:rsidRPr="0072391A">
              <w:rPr>
                <w:rFonts w:ascii="Arial" w:hAnsi="Arial" w:cs="Arial"/>
                <w:i/>
                <w:iCs/>
                <w:sz w:val="20"/>
                <w:szCs w:val="20"/>
              </w:rPr>
              <w:t>2</w:t>
            </w:r>
            <w:r w:rsidRPr="0072391A">
              <w:rPr>
                <w:rFonts w:ascii="Arial" w:hAnsi="Arial" w:cs="Arial"/>
                <w:i/>
                <w:iCs/>
                <w:sz w:val="20"/>
                <w:szCs w:val="20"/>
              </w:rPr>
              <w:fldChar w:fldCharType="end"/>
            </w:r>
            <w:r w:rsidRPr="0072391A">
              <w:rPr>
                <w:rFonts w:ascii="Arial" w:hAnsi="Arial" w:cs="Arial"/>
                <w:i/>
                <w:iCs/>
                <w:sz w:val="20"/>
                <w:szCs w:val="20"/>
              </w:rPr>
              <w:t xml:space="preserve"> sur </w:t>
            </w:r>
            <w:r w:rsidRPr="0072391A">
              <w:rPr>
                <w:rFonts w:ascii="Arial" w:hAnsi="Arial" w:cs="Arial"/>
                <w:i/>
                <w:iCs/>
                <w:sz w:val="20"/>
                <w:szCs w:val="20"/>
              </w:rPr>
              <w:fldChar w:fldCharType="begin"/>
            </w:r>
            <w:r w:rsidRPr="0072391A">
              <w:rPr>
                <w:rFonts w:ascii="Arial" w:hAnsi="Arial" w:cs="Arial"/>
                <w:i/>
                <w:iCs/>
                <w:sz w:val="20"/>
                <w:szCs w:val="20"/>
              </w:rPr>
              <w:instrText>NUMPAGES</w:instrText>
            </w:r>
            <w:r w:rsidRPr="0072391A">
              <w:rPr>
                <w:rFonts w:ascii="Arial" w:hAnsi="Arial" w:cs="Arial"/>
                <w:i/>
                <w:iCs/>
                <w:sz w:val="20"/>
                <w:szCs w:val="20"/>
              </w:rPr>
              <w:fldChar w:fldCharType="separate"/>
            </w:r>
            <w:r w:rsidRPr="0072391A">
              <w:rPr>
                <w:rFonts w:ascii="Arial" w:hAnsi="Arial" w:cs="Arial"/>
                <w:i/>
                <w:iCs/>
                <w:sz w:val="20"/>
                <w:szCs w:val="20"/>
              </w:rPr>
              <w:t>2</w:t>
            </w:r>
            <w:r w:rsidRPr="0072391A">
              <w:rPr>
                <w:rFonts w:ascii="Arial" w:hAnsi="Arial" w:cs="Arial"/>
                <w:i/>
                <w:iCs/>
                <w:sz w:val="20"/>
                <w:szCs w:val="20"/>
              </w:rPr>
              <w:fldChar w:fldCharType="end"/>
            </w:r>
          </w:p>
        </w:sdtContent>
      </w:sdt>
    </w:sdtContent>
  </w:sdt>
  <w:p w14:paraId="0B59C858" w14:textId="77777777" w:rsidR="0072391A" w:rsidRPr="0072391A" w:rsidRDefault="0072391A">
    <w:pPr>
      <w:pStyle w:val="Pieddepage"/>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5DB87" w14:textId="77777777" w:rsidR="002B2760" w:rsidRDefault="002B2760" w:rsidP="0072391A">
      <w:pPr>
        <w:spacing w:after="0" w:line="240" w:lineRule="auto"/>
      </w:pPr>
      <w:r>
        <w:separator/>
      </w:r>
    </w:p>
  </w:footnote>
  <w:footnote w:type="continuationSeparator" w:id="0">
    <w:p w14:paraId="4B196335" w14:textId="77777777" w:rsidR="002B2760" w:rsidRDefault="002B2760" w:rsidP="00723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E07FC"/>
    <w:multiLevelType w:val="hybridMultilevel"/>
    <w:tmpl w:val="B2A29998"/>
    <w:lvl w:ilvl="0" w:tplc="005E8DE2">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351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02"/>
    <w:rsid w:val="000E3B4C"/>
    <w:rsid w:val="00120F8D"/>
    <w:rsid w:val="002A2622"/>
    <w:rsid w:val="002B2760"/>
    <w:rsid w:val="00436042"/>
    <w:rsid w:val="00507A4E"/>
    <w:rsid w:val="00563834"/>
    <w:rsid w:val="005A0DC7"/>
    <w:rsid w:val="00625344"/>
    <w:rsid w:val="006652F8"/>
    <w:rsid w:val="0072391A"/>
    <w:rsid w:val="00751F66"/>
    <w:rsid w:val="00764B1F"/>
    <w:rsid w:val="0086307A"/>
    <w:rsid w:val="008B5E35"/>
    <w:rsid w:val="00A447BF"/>
    <w:rsid w:val="00BE7702"/>
    <w:rsid w:val="00C3305F"/>
    <w:rsid w:val="00C71990"/>
    <w:rsid w:val="00E04D25"/>
    <w:rsid w:val="00E22B10"/>
    <w:rsid w:val="00E80EC1"/>
    <w:rsid w:val="00EC1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320F"/>
  <w15:chartTrackingRefBased/>
  <w15:docId w15:val="{9E5E937F-1141-4595-AA78-0B8E1135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0F8D"/>
    <w:rPr>
      <w:color w:val="0563C1" w:themeColor="hyperlink"/>
      <w:u w:val="single"/>
    </w:rPr>
  </w:style>
  <w:style w:type="character" w:styleId="Mentionnonrsolue">
    <w:name w:val="Unresolved Mention"/>
    <w:basedOn w:val="Policepardfaut"/>
    <w:uiPriority w:val="99"/>
    <w:semiHidden/>
    <w:unhideWhenUsed/>
    <w:rsid w:val="00120F8D"/>
    <w:rPr>
      <w:color w:val="605E5C"/>
      <w:shd w:val="clear" w:color="auto" w:fill="E1DFDD"/>
    </w:rPr>
  </w:style>
  <w:style w:type="paragraph" w:styleId="Paragraphedeliste">
    <w:name w:val="List Paragraph"/>
    <w:basedOn w:val="Normal"/>
    <w:uiPriority w:val="34"/>
    <w:qFormat/>
    <w:rsid w:val="00120F8D"/>
    <w:pPr>
      <w:ind w:left="720"/>
      <w:contextualSpacing/>
    </w:pPr>
  </w:style>
  <w:style w:type="paragraph" w:styleId="En-tte">
    <w:name w:val="header"/>
    <w:basedOn w:val="Normal"/>
    <w:link w:val="En-tteCar"/>
    <w:uiPriority w:val="99"/>
    <w:unhideWhenUsed/>
    <w:rsid w:val="0072391A"/>
    <w:pPr>
      <w:tabs>
        <w:tab w:val="center" w:pos="4536"/>
        <w:tab w:val="right" w:pos="9072"/>
      </w:tabs>
      <w:spacing w:after="0" w:line="240" w:lineRule="auto"/>
    </w:pPr>
  </w:style>
  <w:style w:type="character" w:customStyle="1" w:styleId="En-tteCar">
    <w:name w:val="En-tête Car"/>
    <w:basedOn w:val="Policepardfaut"/>
    <w:link w:val="En-tte"/>
    <w:uiPriority w:val="99"/>
    <w:rsid w:val="0072391A"/>
  </w:style>
  <w:style w:type="paragraph" w:styleId="Pieddepage">
    <w:name w:val="footer"/>
    <w:basedOn w:val="Normal"/>
    <w:link w:val="PieddepageCar"/>
    <w:uiPriority w:val="99"/>
    <w:unhideWhenUsed/>
    <w:rsid w:val="00723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91A"/>
  </w:style>
  <w:style w:type="character" w:styleId="Marquedecommentaire">
    <w:name w:val="annotation reference"/>
    <w:basedOn w:val="Policepardfaut"/>
    <w:uiPriority w:val="99"/>
    <w:semiHidden/>
    <w:unhideWhenUsed/>
    <w:rsid w:val="00C3305F"/>
    <w:rPr>
      <w:sz w:val="16"/>
      <w:szCs w:val="16"/>
    </w:rPr>
  </w:style>
  <w:style w:type="paragraph" w:styleId="Commentaire">
    <w:name w:val="annotation text"/>
    <w:basedOn w:val="Normal"/>
    <w:link w:val="CommentaireCar"/>
    <w:uiPriority w:val="99"/>
    <w:semiHidden/>
    <w:unhideWhenUsed/>
    <w:rsid w:val="00C3305F"/>
    <w:pPr>
      <w:spacing w:line="240" w:lineRule="auto"/>
    </w:pPr>
    <w:rPr>
      <w:sz w:val="20"/>
      <w:szCs w:val="20"/>
    </w:rPr>
  </w:style>
  <w:style w:type="character" w:customStyle="1" w:styleId="CommentaireCar">
    <w:name w:val="Commentaire Car"/>
    <w:basedOn w:val="Policepardfaut"/>
    <w:link w:val="Commentaire"/>
    <w:uiPriority w:val="99"/>
    <w:semiHidden/>
    <w:rsid w:val="00C3305F"/>
    <w:rPr>
      <w:sz w:val="20"/>
      <w:szCs w:val="20"/>
    </w:rPr>
  </w:style>
  <w:style w:type="paragraph" w:styleId="Objetducommentaire">
    <w:name w:val="annotation subject"/>
    <w:basedOn w:val="Commentaire"/>
    <w:next w:val="Commentaire"/>
    <w:link w:val="ObjetducommentaireCar"/>
    <w:uiPriority w:val="99"/>
    <w:semiHidden/>
    <w:unhideWhenUsed/>
    <w:rsid w:val="00C3305F"/>
    <w:rPr>
      <w:b/>
      <w:bCs/>
    </w:rPr>
  </w:style>
  <w:style w:type="character" w:customStyle="1" w:styleId="ObjetducommentaireCar">
    <w:name w:val="Objet du commentaire Car"/>
    <w:basedOn w:val="CommentaireCar"/>
    <w:link w:val="Objetducommentaire"/>
    <w:uiPriority w:val="99"/>
    <w:semiHidden/>
    <w:rsid w:val="00C3305F"/>
    <w:rPr>
      <w:b/>
      <w:bCs/>
      <w:sz w:val="20"/>
      <w:szCs w:val="20"/>
    </w:rPr>
  </w:style>
  <w:style w:type="paragraph" w:customStyle="1" w:styleId="ParagrapheIndent2">
    <w:name w:val="ParagrapheIndent2"/>
    <w:basedOn w:val="Normal"/>
    <w:next w:val="Normal"/>
    <w:uiPriority w:val="99"/>
    <w:rsid w:val="00764B1F"/>
    <w:pPr>
      <w:spacing w:after="0" w:line="240" w:lineRule="auto"/>
    </w:pPr>
    <w:rPr>
      <w:rFonts w:ascii="Arial" w:eastAsia="Times New Roman"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hyperlink" Target="mailto:greffe.ta-nice@jurad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26D7-B8AE-4B87-A3F7-6B7AE739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Bezole</dc:creator>
  <cp:keywords/>
  <dc:description/>
  <cp:lastModifiedBy>Paul Farrugia</cp:lastModifiedBy>
  <cp:revision>23</cp:revision>
  <dcterms:created xsi:type="dcterms:W3CDTF">2024-04-23T07:08:00Z</dcterms:created>
  <dcterms:modified xsi:type="dcterms:W3CDTF">2024-04-23T13:19:00Z</dcterms:modified>
</cp:coreProperties>
</file>